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Heading2"/>
      </w:pPr>
      <w:bookmarkStart w:id="22" w:name="analise-estatistica"/>
      <w:bookmarkEnd w:id="22"/>
      <w:r>
        <w:t xml:space="preserve">Análise estatística</w:t>
      </w:r>
    </w:p>
    <w:p>
      <w:pPr>
        <w:pStyle w:val="FirstParagraph"/>
      </w:pPr>
      <w:r>
        <w:t xml:space="preserve">Todos os tratamentos e as análises dos dados foram realizados no software estatístico R, versão 3.3.3 (</w:t>
      </w:r>
      <w:hyperlink r:id="rId23">
        <w:r>
          <w:rPr>
            <w:rStyle w:val="Hyperlink"/>
          </w:rPr>
          <w:t xml:space="preserve">https://www.R-project.org</w:t>
        </w:r>
      </w:hyperlink>
      <w:r>
        <w:t xml:space="preserve">).</w:t>
      </w:r>
    </w:p>
    <w:p>
      <w:pPr>
        <w:pStyle w:val="BodyText"/>
      </w:pPr>
      <w:r>
        <w:t xml:space="preserve">Em todas as análises foi utilizado o nível de significância de 5%.</w:t>
      </w:r>
    </w:p>
    <w:p>
      <w:pPr>
        <w:pStyle w:val="Heading3"/>
      </w:pPr>
      <w:bookmarkStart w:id="24" w:name="tratamento-dos-dados"/>
      <w:bookmarkEnd w:id="24"/>
      <w:r>
        <w:t xml:space="preserve">Tratamento dos dados</w:t>
      </w:r>
    </w:p>
    <w:p>
      <w:pPr>
        <w:pStyle w:val="FirstParagraph"/>
      </w:pPr>
      <w:r>
        <w:t xml:space="preserve">Os títulos com valores abaixo da primeira diluição (&lt;10) foram substituídos por 5.</w:t>
      </w:r>
      <w:r>
        <w:t xml:space="preserve"> </w:t>
      </w:r>
      <w:r>
        <w:t xml:space="preserve">Os títulos com valores acima da última diluição (&gt;1250) foram substituídos por 2500.</w:t>
      </w:r>
      <w:r>
        <w:t xml:space="preserve"> </w:t>
      </w:r>
      <w:r>
        <w:t xml:space="preserve">Os títulos foram comparados usando o teste t de Student pareado, após transformação para escala logarítmica (base 10).</w:t>
      </w:r>
    </w:p>
    <w:p>
      <w:pPr>
        <w:pStyle w:val="Heading3"/>
      </w:pPr>
      <w:bookmarkStart w:id="25" w:name="cinetica-de-dengue"/>
      <w:bookmarkEnd w:id="25"/>
      <w:r>
        <w:t xml:space="preserve">Cinética de Dengue</w:t>
      </w:r>
    </w:p>
    <w:p>
      <w:pPr>
        <w:pStyle w:val="FirstParagraph"/>
      </w:pPr>
      <w:r>
        <w:t xml:space="preserve">A cinética de dengue foi estimada usando regressão linear simples entre os títulos de anticorpos neutralizantes e a idade dos bebês.</w:t>
      </w:r>
      <w:r>
        <w:t xml:space="preserve"> </w:t>
      </w:r>
      <w:r>
        <w:t xml:space="preserve">O tempo de sororreversão foi calculado como o ponto de interseção entre os valores de referência 50 e o limite de detecção da primeira diluição (título 10).</w:t>
      </w:r>
    </w:p>
    <w:p>
      <w:pPr>
        <w:pStyle w:val="Heading3"/>
      </w:pPr>
      <w:bookmarkStart w:id="26" w:name="associacao-entre-soro-materno-e-sangue-de-cordao"/>
      <w:bookmarkEnd w:id="26"/>
      <w:r>
        <w:t xml:space="preserve">Associação entre soro materno e sangue de cordão</w:t>
      </w:r>
    </w:p>
    <w:p>
      <w:pPr>
        <w:pStyle w:val="FirstParagraph"/>
      </w:pPr>
      <w:r>
        <w:t xml:space="preserve">A o grau e direção da associação entre dados numéricos foi analisada com o coeficiente de correlação de Pearson, após transformação pelo logaritmo.</w:t>
      </w:r>
    </w:p>
    <w:p>
      <w:pPr>
        <w:pStyle w:val="BodyText"/>
      </w:pPr>
      <w:r>
        <w:t xml:space="preserve">A tendência de associação foi observada usando a regressão de Deming, que é capaz de avaliar simultaneamente as variabilidades experimentais de ambos os dados.</w:t>
      </w:r>
    </w:p>
    <w:p>
      <w:pPr>
        <w:pStyle w:val="Heading4"/>
      </w:pPr>
      <w:bookmarkStart w:id="27" w:name="taxa-de-transferencia"/>
      <w:bookmarkEnd w:id="27"/>
      <w:r>
        <w:t xml:space="preserve">Taxa de transferência</w:t>
      </w:r>
    </w:p>
    <w:p>
      <w:pPr>
        <w:pStyle w:val="FirstParagraph"/>
      </w:pPr>
      <w:r>
        <w:t xml:space="preserve">A taxa de transferência foi definida como (TT) = (valor mensurado na amostra cordão/ valor mensurado na amostra materna)*100.</w:t>
      </w:r>
      <w:r>
        <w:t xml:space="preserve"> </w:t>
      </w:r>
      <w:r>
        <w:t xml:space="preserve">Para avaliar a TT média em cada sorotipo a média geométrica dos títulos foi utilizada. A TT média foi determinada como a razão entre as médias geométricas: (TTmédia) = (média geométrica na amostra cordão/valor mensurado na amostra materna).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2"/>
      </w:pPr>
      <w:bookmarkStart w:id="29" w:name="dengue"/>
      <w:bookmarkEnd w:id="29"/>
      <w:r>
        <w:t xml:space="preserve">Dengue</w:t>
      </w:r>
    </w:p>
    <w:p>
      <w:pPr>
        <w:pStyle w:val="Heading3"/>
      </w:pPr>
      <w:bookmarkStart w:id="30" w:name="associacao"/>
      <w:bookmarkEnd w:id="30"/>
      <w:r>
        <w:t xml:space="preserve">Associação</w:t>
      </w:r>
    </w:p>
    <w:p>
      <w:pPr>
        <w:pStyle w:val="Heading4"/>
      </w:pPr>
      <w:bookmarkStart w:id="31" w:name="correlacao"/>
      <w:bookmarkEnd w:id="31"/>
      <w:r>
        <w:t xml:space="preserve">Correlação</w:t>
      </w:r>
    </w:p>
    <w:p>
      <w:pPr>
        <w:pStyle w:val="FirstParagraph"/>
      </w:pPr>
      <w:r>
        <w:t xml:space="preserve">Os valores de correlação de Pearson para as associações são:</w:t>
      </w:r>
    </w:p>
    <w:p>
      <w:pPr>
        <w:pStyle w:val="Compact"/>
        <w:numPr>
          <w:numId w:val="1001"/>
          <w:ilvl w:val="0"/>
        </w:numPr>
      </w:pPr>
      <w:r>
        <w:t xml:space="preserve">DENV1: r = 0.8308448, p = &lt;0.001</w:t>
      </w:r>
    </w:p>
    <w:p>
      <w:pPr>
        <w:pStyle w:val="Compact"/>
        <w:numPr>
          <w:numId w:val="1001"/>
          <w:ilvl w:val="0"/>
        </w:numPr>
      </w:pPr>
      <w:r>
        <w:t xml:space="preserve">DENV2: r = 0.4262882, p = &lt;0.001</w:t>
      </w:r>
    </w:p>
    <w:p>
      <w:pPr>
        <w:pStyle w:val="Compact"/>
        <w:numPr>
          <w:numId w:val="1001"/>
          <w:ilvl w:val="0"/>
        </w:numPr>
      </w:pPr>
      <w:r>
        <w:t xml:space="preserve">DENV3: r = 0.5217896, p = &lt;0.001</w:t>
      </w:r>
    </w:p>
    <w:p>
      <w:pPr>
        <w:pStyle w:val="Compact"/>
        <w:numPr>
          <w:numId w:val="1001"/>
          <w:ilvl w:val="0"/>
        </w:numPr>
      </w:pPr>
      <w:r>
        <w:t xml:space="preserve">DENV4: r = 0.2314973, p = 0.0804</w:t>
      </w:r>
    </w:p>
    <w:p>
      <w:pPr>
        <w:pStyle w:val="Heading4"/>
      </w:pPr>
      <w:bookmarkStart w:id="32" w:name="regressao-de-deming"/>
      <w:bookmarkEnd w:id="32"/>
      <w:r>
        <w:t xml:space="preserve">Regressão de Deming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. As retas tracejadas são os limites de diluição; as retas vermelhas correspondem ao corte de 50; a reta azul é a reta de regressão de Deming." id="1" name="Picture"/>
            <a:graphic>
              <a:graphicData uri="http://schemas.openxmlformats.org/drawingml/2006/picture">
                <pic:pic>
                  <pic:nvPicPr>
                    <pic:cNvPr descr="../figuras/assoc-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cordão. As retas tracejadas são os limites de diluição; as retas vermelhas correspondem ao corte de 50; a reta azul é a reta de regressão de Deming.</w:t>
      </w:r>
    </w:p>
    <w:p>
      <w:pPr>
        <w:pStyle w:val="Heading4"/>
      </w:pPr>
      <w:bookmarkStart w:id="34" w:name="taxa-de-transferencia-1"/>
      <w:bookmarkEnd w:id="34"/>
      <w:r>
        <w:t xml:space="preserve">Taxa de Transferência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 em torno da média.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 em torno da méd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p>
      <w:pPr>
        <w:pStyle w:val="Heading3"/>
      </w:pPr>
      <w:bookmarkStart w:id="35" w:name="cinetica"/>
      <w:bookmarkEnd w:id="35"/>
      <w:r>
        <w:t xml:space="preserve">Cinética</w:t>
      </w:r>
    </w:p>
    <w:p>
      <w:pPr>
        <w:pStyle w:val="Heading4"/>
      </w:pPr>
      <w:bookmarkStart w:id="36" w:name="decaimento-dos-titulos-de-anticorpos-neutralizantes"/>
      <w:bookmarkEnd w:id="36"/>
      <w:r>
        <w:t xml:space="preserve">Decaimento dos títulos de anticorpos neutralizantes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Cinética de decaimento de títulos de anticorpos neutralizantes" id="1" name="Picture"/>
            <a:graphic>
              <a:graphicData uri="http://schemas.openxmlformats.org/drawingml/2006/picture">
                <pic:pic>
                  <pic:nvPicPr>
                    <pic:cNvPr descr="../figuras/cinetica-dengue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Cinética de decaimento de títulos de anticorpos neutralizantes</w:t>
      </w:r>
    </w:p>
    <w:p>
      <w:pPr>
        <w:pStyle w:val="Heading4"/>
      </w:pPr>
      <w:bookmarkStart w:id="38" w:name="medias-por-idade"/>
      <w:bookmarkEnd w:id="38"/>
      <w:r>
        <w:t xml:space="preserve">Médias por idade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0.0"/>
        <w:tblLook w:firstRow="1"/>
        <w:tblCaption w:val="Tabela xx Médias geométricas de títulos de anticopors neutralizantes, por idade (em meses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p>
      <w:pPr>
        <w:pStyle w:val="Heading4"/>
      </w:pPr>
      <w:bookmarkStart w:id="39" w:name="tempo-de-sororreversao"/>
      <w:bookmarkEnd w:id="39"/>
      <w:r>
        <w:t xml:space="preserve">Tempo de sororreversão</w:t>
      </w:r>
    </w:p>
    <w:p>
      <w:pPr>
        <w:pStyle w:val="FirstParagraph"/>
      </w:pPr>
      <w:r>
        <w:t xml:space="preserve">Tempo de sororreversão (título = 50)</w:t>
      </w:r>
    </w:p>
    <w:p>
      <w:pPr>
        <w:pStyle w:val="Compact"/>
        <w:numPr>
          <w:numId w:val="1002"/>
          <w:ilvl w:val="0"/>
        </w:numPr>
      </w:pPr>
      <w:r>
        <w:t xml:space="preserve">DENV1 ~ 7.6 meses</w:t>
      </w:r>
    </w:p>
    <w:p>
      <w:pPr>
        <w:pStyle w:val="Compact"/>
        <w:numPr>
          <w:numId w:val="1002"/>
          <w:ilvl w:val="0"/>
        </w:numPr>
      </w:pPr>
      <w:r>
        <w:t xml:space="preserve">DENV2 ~ 6.2 meses</w:t>
      </w:r>
    </w:p>
    <w:p>
      <w:pPr>
        <w:pStyle w:val="Compact"/>
        <w:numPr>
          <w:numId w:val="1002"/>
          <w:ilvl w:val="0"/>
        </w:numPr>
      </w:pPr>
      <w:r>
        <w:t xml:space="preserve">DENV3 ~ 6.1 meses</w:t>
      </w:r>
    </w:p>
    <w:p>
      <w:pPr>
        <w:pStyle w:val="Compact"/>
        <w:numPr>
          <w:numId w:val="1002"/>
          <w:ilvl w:val="0"/>
        </w:numPr>
      </w:pPr>
      <w:r>
        <w:t xml:space="preserve">DENV4 ~ 7.2 meses</w:t>
      </w:r>
    </w:p>
    <w:p>
      <w:pPr>
        <w:pStyle w:val="FirstParagraph"/>
      </w:pPr>
      <w:r>
        <w:t xml:space="preserve">Tempo de sororreversão (título = 10)</w:t>
      </w:r>
    </w:p>
    <w:p>
      <w:pPr>
        <w:pStyle w:val="Compact"/>
        <w:numPr>
          <w:numId w:val="1003"/>
          <w:ilvl w:val="0"/>
        </w:numPr>
      </w:pPr>
      <w:r>
        <w:t xml:space="preserve">DENV1 ~ 11.7 meses</w:t>
      </w:r>
    </w:p>
    <w:p>
      <w:pPr>
        <w:pStyle w:val="Compact"/>
        <w:numPr>
          <w:numId w:val="1003"/>
          <w:ilvl w:val="0"/>
        </w:numPr>
      </w:pPr>
      <w:r>
        <w:t xml:space="preserve">DENV2 ~ 9.9 meses</w:t>
      </w:r>
    </w:p>
    <w:p>
      <w:pPr>
        <w:pStyle w:val="Compact"/>
        <w:numPr>
          <w:numId w:val="1003"/>
          <w:ilvl w:val="0"/>
        </w:numPr>
      </w:pPr>
      <w:r>
        <w:t xml:space="preserve">DENV3 ~ 9.9 meses</w:t>
      </w:r>
    </w:p>
    <w:p>
      <w:pPr>
        <w:pStyle w:val="Compact"/>
        <w:numPr>
          <w:numId w:val="1003"/>
          <w:ilvl w:val="0"/>
        </w:numPr>
      </w:pPr>
      <w:r>
        <w:t xml:space="preserve">DENV4 ~ 12.1 meses</w:t>
      </w:r>
    </w:p>
    <w:p>
      <w:pPr>
        <w:pStyle w:val="Heading2"/>
      </w:pPr>
      <w:bookmarkStart w:id="40" w:name="zika"/>
      <w:bookmarkEnd w:id="40"/>
      <w:r>
        <w:t xml:space="preserve">Zika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31c2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00fa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23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Felipe Figueiredo</dc:creator>
  <dcterms:created xsi:type="dcterms:W3CDTF">2017-06-20T20:19:46Z</dcterms:created>
  <dcterms:modified xsi:type="dcterms:W3CDTF">2017-06-20T20:19:46Z</dcterms:modified>
</cp:coreProperties>
</file>