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Heading1"/>
      </w:pPr>
      <w:bookmarkStart w:id="22" w:name="resultados"/>
      <w:bookmarkEnd w:id="22"/>
      <w:r>
        <w:t xml:space="preserve">Resultados</w:t>
      </w:r>
    </w:p>
    <w:p>
      <w:pPr>
        <w:pStyle w:val="Heading2"/>
      </w:pPr>
      <w:bookmarkStart w:id="23" w:name="dengue"/>
      <w:bookmarkEnd w:id="23"/>
      <w:r>
        <w:t xml:space="preserve">Dengue</w:t>
      </w:r>
    </w:p>
    <w:p>
      <w:pPr>
        <w:pStyle w:val="Heading3"/>
      </w:pPr>
      <w:bookmarkStart w:id="24" w:name="associacao"/>
      <w:bookmarkEnd w:id="24"/>
      <w:r>
        <w:t xml:space="preserve">Associação</w:t>
      </w:r>
    </w:p>
    <w:p>
      <w:pPr>
        <w:pStyle w:val="Heading4"/>
      </w:pPr>
      <w:bookmarkStart w:id="25" w:name="correlacao"/>
      <w:bookmarkEnd w:id="25"/>
      <w:r>
        <w:t xml:space="preserve">Correlação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 (linear)" id="1" name="Picture"/>
            <a:graphic>
              <a:graphicData uri="http://schemas.openxmlformats.org/drawingml/2006/picture">
                <pic:pic>
                  <pic:nvPicPr>
                    <pic:cNvPr descr="../figuras/assoc-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 (linear)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 (não-linear)" id="1" name="Picture"/>
            <a:graphic>
              <a:graphicData uri="http://schemas.openxmlformats.org/drawingml/2006/picture">
                <pic:pic>
                  <pic:nvPicPr>
                    <pic:cNvPr descr="../figuras/assoc-n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 (não-linear)</w:t>
      </w:r>
    </w:p>
    <w:p>
      <w:pPr>
        <w:pStyle w:val="BodyText"/>
      </w:pPr>
      <w:r>
        <w:t xml:space="preserve">Obs: Escolher apenas um dos painés de figura acima! Não utilizar os dois!</w:t>
      </w:r>
    </w:p>
    <w:p>
      <w:pPr>
        <w:pStyle w:val="BodyText"/>
      </w:pPr>
      <w:r>
        <w:t xml:space="preserve">Os valores de correlação de Spearman para as associações são:</w:t>
      </w:r>
    </w:p>
    <w:p>
      <w:pPr>
        <w:pStyle w:val="Compact"/>
        <w:numPr>
          <w:numId w:val="1001"/>
          <w:ilvl w:val="0"/>
        </w:numPr>
      </w:pPr>
      <w:r>
        <w:t xml:space="preserve">DENV1: rho = 0.5262571, p = &lt;0.001</w:t>
      </w:r>
    </w:p>
    <w:p>
      <w:pPr>
        <w:pStyle w:val="Compact"/>
        <w:numPr>
          <w:numId w:val="1001"/>
          <w:ilvl w:val="0"/>
        </w:numPr>
      </w:pPr>
      <w:r>
        <w:t xml:space="preserve">DENV2: rho = 0.2761045, p = 0.0359</w:t>
      </w:r>
    </w:p>
    <w:p>
      <w:pPr>
        <w:pStyle w:val="Compact"/>
        <w:numPr>
          <w:numId w:val="1001"/>
          <w:ilvl w:val="0"/>
        </w:numPr>
      </w:pPr>
      <w:r>
        <w:t xml:space="preserve">DENV3: rho = 0.5174988, p = &lt;0.001</w:t>
      </w:r>
    </w:p>
    <w:p>
      <w:pPr>
        <w:pStyle w:val="Compact"/>
        <w:numPr>
          <w:numId w:val="1001"/>
          <w:ilvl w:val="0"/>
        </w:numPr>
      </w:pPr>
      <w:r>
        <w:t xml:space="preserve">DENV4: rho = 0.5062238, p = &lt;0.001</w:t>
      </w:r>
    </w:p>
    <w:p>
      <w:pPr>
        <w:pStyle w:val="Heading4"/>
      </w:pPr>
      <w:bookmarkStart w:id="28" w:name="taxa-de-transferencia"/>
      <w:bookmarkEnd w:id="28"/>
      <w:r>
        <w:t xml:space="preserve">Taxa de Transferência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 em torno da média.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 em torno da méd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p>
      <w:pPr>
        <w:pStyle w:val="Heading3"/>
      </w:pPr>
      <w:bookmarkStart w:id="29" w:name="cinetica"/>
      <w:bookmarkEnd w:id="29"/>
      <w:r>
        <w:t xml:space="preserve">Cinética</w:t>
      </w:r>
    </w:p>
    <w:p>
      <w:pPr>
        <w:pStyle w:val="Heading4"/>
      </w:pPr>
      <w:bookmarkStart w:id="30" w:name="decaimento-dos-titulos-de-anticorpos-neutralizantes"/>
      <w:bookmarkEnd w:id="30"/>
      <w:r>
        <w:t xml:space="preserve">Decaimento dos títulos de anticorpos neutralizantes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Cinética de decaimento de títulos de anticorpos neutralizantes" id="1" name="Picture"/>
            <a:graphic>
              <a:graphicData uri="http://schemas.openxmlformats.org/drawingml/2006/picture">
                <pic:pic>
                  <pic:nvPicPr>
                    <pic:cNvPr descr="../figuras/cinetica-dengue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Cinética de decaimento de títulos de anticorpos neutralizantes</w:t>
      </w:r>
    </w:p>
    <w:p>
      <w:pPr>
        <w:pStyle w:val="Heading4"/>
      </w:pPr>
      <w:bookmarkStart w:id="32" w:name="medias-por-idade"/>
      <w:bookmarkEnd w:id="32"/>
      <w:r>
        <w:t xml:space="preserve">Médias por idade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4444.444444444444"/>
        <w:tblLook w:firstRow="1"/>
        <w:tblCaption w:val="Tabela xx Médias geométricas de títulos de anticopors neutralizantes, por idade (em meses)."/>
      </w:tblPr>
      <w:tblGrid>
        <w:gridCol w:w="88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p>
      <w:pPr>
        <w:pStyle w:val="Heading4"/>
      </w:pPr>
      <w:bookmarkStart w:id="33" w:name="tempo-de-sororreversao"/>
      <w:bookmarkEnd w:id="33"/>
      <w:r>
        <w:t xml:space="preserve">Tempo de sororreversão</w:t>
      </w:r>
    </w:p>
    <w:p>
      <w:pPr>
        <w:pStyle w:val="FirstParagraph"/>
      </w:pPr>
      <w:r>
        <w:t xml:space="preserve">Tempo de sororreversão (título = 50)</w:t>
      </w:r>
    </w:p>
    <w:p>
      <w:pPr>
        <w:pStyle w:val="Compact"/>
        <w:numPr>
          <w:numId w:val="1002"/>
          <w:ilvl w:val="0"/>
        </w:numPr>
      </w:pPr>
      <w:r>
        <w:t xml:space="preserve">DENV1 ~ 7.6 meses</w:t>
      </w:r>
    </w:p>
    <w:p>
      <w:pPr>
        <w:pStyle w:val="Compact"/>
        <w:numPr>
          <w:numId w:val="1002"/>
          <w:ilvl w:val="0"/>
        </w:numPr>
      </w:pPr>
      <w:r>
        <w:t xml:space="preserve">DENV2 ~ 6.2 meses</w:t>
      </w:r>
    </w:p>
    <w:p>
      <w:pPr>
        <w:pStyle w:val="Compact"/>
        <w:numPr>
          <w:numId w:val="1002"/>
          <w:ilvl w:val="0"/>
        </w:numPr>
      </w:pPr>
      <w:r>
        <w:t xml:space="preserve">DENV3 ~ 6.1 meses</w:t>
      </w:r>
    </w:p>
    <w:p>
      <w:pPr>
        <w:pStyle w:val="Compact"/>
        <w:numPr>
          <w:numId w:val="1002"/>
          <w:ilvl w:val="0"/>
        </w:numPr>
      </w:pPr>
      <w:r>
        <w:t xml:space="preserve">DENV4 ~ 7.2 meses</w:t>
      </w:r>
    </w:p>
    <w:p>
      <w:pPr>
        <w:pStyle w:val="FirstParagraph"/>
      </w:pPr>
      <w:r>
        <w:t xml:space="preserve">Tempo de sororreversão (título = 10)</w:t>
      </w:r>
    </w:p>
    <w:p>
      <w:pPr>
        <w:pStyle w:val="Compact"/>
        <w:numPr>
          <w:numId w:val="1003"/>
          <w:ilvl w:val="0"/>
        </w:numPr>
      </w:pPr>
      <w:r>
        <w:t xml:space="preserve">DENV1 ~ 11.7 meses</w:t>
      </w:r>
    </w:p>
    <w:p>
      <w:pPr>
        <w:pStyle w:val="Compact"/>
        <w:numPr>
          <w:numId w:val="1003"/>
          <w:ilvl w:val="0"/>
        </w:numPr>
      </w:pPr>
      <w:r>
        <w:t xml:space="preserve">DENV2 ~ 9.9 meses</w:t>
      </w:r>
    </w:p>
    <w:p>
      <w:pPr>
        <w:pStyle w:val="Compact"/>
        <w:numPr>
          <w:numId w:val="1003"/>
          <w:ilvl w:val="0"/>
        </w:numPr>
      </w:pPr>
      <w:r>
        <w:t xml:space="preserve">DENV3 ~ 9.9 meses</w:t>
      </w:r>
    </w:p>
    <w:p>
      <w:pPr>
        <w:pStyle w:val="Compact"/>
        <w:numPr>
          <w:numId w:val="1003"/>
          <w:ilvl w:val="0"/>
        </w:numPr>
      </w:pPr>
      <w:r>
        <w:t xml:space="preserve">DENV4 ~ 12.1 meses</w:t>
      </w:r>
    </w:p>
    <w:p>
      <w:pPr>
        <w:pStyle w:val="Heading2"/>
      </w:pPr>
      <w:bookmarkStart w:id="34" w:name="zika"/>
      <w:bookmarkEnd w:id="34"/>
      <w:r>
        <w:t xml:space="preserve">Zika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106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c0c6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Felipe Figueiredo</dc:creator>
  <dcterms:created xsi:type="dcterms:W3CDTF">2017-06-19T10:12:28Z</dcterms:created>
  <dcterms:modified xsi:type="dcterms:W3CDTF">2017-06-19T10:12:28Z</dcterms:modified>
</cp:coreProperties>
</file>