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RelatÃ³rio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etodos"/>
      <w:bookmarkEnd w:id="21"/>
      <w:r>
        <w:t xml:space="preserve">Métodos</w:t>
      </w:r>
    </w:p>
    <w:p>
      <w:pPr>
        <w:pStyle w:val="Heading1"/>
      </w:pPr>
      <w:bookmarkStart w:id="22" w:name="resultados"/>
      <w:bookmarkEnd w:id="22"/>
      <w:r>
        <w:t xml:space="preserve">Resultados</w:t>
      </w:r>
    </w:p>
    <w:p>
      <w:pPr>
        <w:pStyle w:val="Heading2"/>
      </w:pPr>
      <w:bookmarkStart w:id="23" w:name="dengue"/>
      <w:bookmarkEnd w:id="23"/>
      <w:r>
        <w:t xml:space="preserve">Dengue</w:t>
      </w:r>
    </w:p>
    <w:p>
      <w:pPr>
        <w:pStyle w:val="Heading3"/>
      </w:pPr>
      <w:bookmarkStart w:id="24" w:name="associacao"/>
      <w:bookmarkEnd w:id="24"/>
      <w:r>
        <w:t xml:space="preserve">Associação</w:t>
      </w:r>
    </w:p>
    <w:p>
      <w:pPr>
        <w:pStyle w:val="Heading4"/>
      </w:pPr>
      <w:bookmarkStart w:id="25" w:name="correlacao"/>
      <w:bookmarkEnd w:id="25"/>
      <w:r>
        <w:t xml:space="preserve">Correlação</w:t>
      </w:r>
    </w:p>
    <w:p>
      <w:pPr>
        <w:pStyle w:val="FirstParagraph"/>
      </w:pPr>
      <w:r>
        <w:t xml:space="preserve">Os valores de correlação de Pearson para as associações são:</w:t>
      </w:r>
    </w:p>
    <w:p>
      <w:pPr>
        <w:pStyle w:val="Compact"/>
        <w:numPr>
          <w:numId w:val="1001"/>
          <w:ilvl w:val="0"/>
        </w:numPr>
      </w:pPr>
      <w:r>
        <w:t xml:space="preserve">DENV1: r = 0.8308448, p = &lt;0.001</w:t>
      </w:r>
    </w:p>
    <w:p>
      <w:pPr>
        <w:pStyle w:val="Compact"/>
        <w:numPr>
          <w:numId w:val="1001"/>
          <w:ilvl w:val="0"/>
        </w:numPr>
      </w:pPr>
      <w:r>
        <w:t xml:space="preserve">DENV2: r = 0.4262882, p = &lt;0.001</w:t>
      </w:r>
    </w:p>
    <w:p>
      <w:pPr>
        <w:pStyle w:val="Compact"/>
        <w:numPr>
          <w:numId w:val="1001"/>
          <w:ilvl w:val="0"/>
        </w:numPr>
      </w:pPr>
      <w:r>
        <w:t xml:space="preserve">DENV3: r = 0.5217896, p = &lt;0.001</w:t>
      </w:r>
    </w:p>
    <w:p>
      <w:pPr>
        <w:pStyle w:val="Compact"/>
        <w:numPr>
          <w:numId w:val="1001"/>
          <w:ilvl w:val="0"/>
        </w:numPr>
      </w:pPr>
      <w:r>
        <w:t xml:space="preserve">DENV4: r = 0.2314973, p = 0.0804</w:t>
      </w:r>
    </w:p>
    <w:p>
      <w:pPr>
        <w:pStyle w:val="Heading4"/>
      </w:pPr>
      <w:bookmarkStart w:id="26" w:name="regressao-de-deming"/>
      <w:bookmarkEnd w:id="26"/>
      <w:r>
        <w:t xml:space="preserve">Regressão de Deming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Associação entre títulos de anticorpos neutralizantes de soro materno e sangue de cordão. As retas tracejadas são os limites de diluição; as retas vermelhas correspondem ao corte de 50; a reta azul é a reta de regressão de Deming." id="1" name="Picture"/>
            <a:graphic>
              <a:graphicData uri="http://schemas.openxmlformats.org/drawingml/2006/picture">
                <pic:pic>
                  <pic:nvPicPr>
                    <pic:cNvPr descr="../figuras/assoc-linear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Associação entre títulos de anticorpos neutralizantes de soro materno e sangue de cordão. As retas tracejadas são os limites de diluição; as retas vermelhas correspondem ao corte de 50; a reta azul é a reta de regressão de Deming.</w:t>
      </w:r>
    </w:p>
    <w:p>
      <w:pPr>
        <w:pStyle w:val="Heading4"/>
      </w:pPr>
      <w:bookmarkStart w:id="28" w:name="taxa-de-transferencia"/>
      <w:bookmarkEnd w:id="28"/>
      <w:r>
        <w:t xml:space="preserve">Taxa de Transferência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MG = Média geométrica; TT = Taxa de transferência; IC = Intervalo de confiança de 95% em torno da média.</w:t>
      </w:r>
    </w:p>
    <w:tbl>
      <w:tblPr>
        <w:tblStyle w:val="TableNormal"/>
        <w:tblW w:type="pct" w:w="0.0"/>
        <w:tblLook w:firstRow="1"/>
        <w:tblCaption w:val="Tabela xx MG = Média geométrica; TT = Taxa de transferência; IC = Intervalo de confiança de 95% em torno da médi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Sangue Cordão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Soro Materno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IC 95%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DENV1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[95, 112]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DENV2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981.8</w:t>
            </w:r>
          </w:p>
        </w:tc>
        <w:tc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[88, 128]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DENV3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823.6</w:t>
            </w:r>
          </w:p>
        </w:tc>
        <w:tc>
          <w:p>
            <w:pPr>
              <w:pStyle w:val="Compact"/>
              <w:jc w:val="center"/>
            </w:pPr>
            <w:r>
              <w:t xml:space="preserve">830.9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[81, 122]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DENV4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[94, 213]</w:t>
            </w:r>
          </w:p>
        </w:tc>
      </w:tr>
    </w:tbl>
    <w:p>
      <w:pPr>
        <w:pStyle w:val="Heading3"/>
      </w:pPr>
      <w:bookmarkStart w:id="29" w:name="cinetica"/>
      <w:bookmarkEnd w:id="29"/>
      <w:r>
        <w:t xml:space="preserve">Cinética</w:t>
      </w:r>
    </w:p>
    <w:p>
      <w:pPr>
        <w:pStyle w:val="Heading4"/>
      </w:pPr>
      <w:bookmarkStart w:id="30" w:name="decaimento-dos-titulos-de-anticorpos-neutralizantes"/>
      <w:bookmarkEnd w:id="30"/>
      <w:r>
        <w:t xml:space="preserve">Decaimento dos títulos de anticorpos neutralizantes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Cinética de decaimento de títulos de anticorpos neutralizantes" id="1" name="Picture"/>
            <a:graphic>
              <a:graphicData uri="http://schemas.openxmlformats.org/drawingml/2006/picture">
                <pic:pic>
                  <pic:nvPicPr>
                    <pic:cNvPr descr="../figuras/cinetica-dengue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Cinética de decaimento de títulos de anticorpos neutralizantes</w:t>
      </w:r>
    </w:p>
    <w:p>
      <w:pPr>
        <w:pStyle w:val="Heading4"/>
      </w:pPr>
      <w:bookmarkStart w:id="32" w:name="medias-por-idade"/>
      <w:bookmarkEnd w:id="32"/>
      <w:r>
        <w:t xml:space="preserve">Médias por idade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Médias geométricas de títulos de anticopors neutralizantes, por idade (em meses).</w:t>
      </w:r>
    </w:p>
    <w:tbl>
      <w:tblPr>
        <w:tblStyle w:val="TableNormal"/>
        <w:tblW w:type="pct" w:w="0.0"/>
        <w:tblLook w:firstRow="1"/>
        <w:tblCaption w:val="Tabela xx Médias geométricas de títulos de anticopors neutralizantes, por idade (em meses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1718</w:t>
            </w:r>
          </w:p>
        </w:tc>
        <w:tc>
          <w:p>
            <w:pPr>
              <w:pStyle w:val="Compact"/>
              <w:jc w:val="center"/>
            </w:pPr>
            <w:r>
              <w:t xml:space="preserve">1262</w:t>
            </w:r>
          </w:p>
        </w:tc>
        <w:tc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p>
            <w:pPr>
              <w:pStyle w:val="Compact"/>
              <w:jc w:val="center"/>
            </w:pPr>
            <w:r>
              <w:t xml:space="preserve">765.7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161.9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144.2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115.8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127.5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93.71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197.4</w:t>
            </w:r>
          </w:p>
        </w:tc>
        <w:tc>
          <w:p>
            <w:pPr>
              <w:pStyle w:val="Compact"/>
              <w:jc w:val="center"/>
            </w:pPr>
            <w:r>
              <w:t xml:space="preserve">34.82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97.67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82.53</w:t>
            </w:r>
          </w:p>
        </w:tc>
        <w:tc>
          <w:p>
            <w:pPr>
              <w:pStyle w:val="Compact"/>
              <w:jc w:val="center"/>
            </w:pPr>
            <w:r>
              <w:t xml:space="preserve">56.76</w:t>
            </w:r>
          </w:p>
        </w:tc>
        <w:tc>
          <w:p>
            <w:pPr>
              <w:pStyle w:val="Compact"/>
              <w:jc w:val="center"/>
            </w:pPr>
            <w:r>
              <w:t xml:space="preserve">36.36</w:t>
            </w:r>
          </w:p>
        </w:tc>
        <w:tc>
          <w:p>
            <w:pPr>
              <w:pStyle w:val="Compact"/>
              <w:jc w:val="center"/>
            </w:pPr>
            <w:r>
              <w:t xml:space="preserve">87.48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60.14</w:t>
            </w:r>
          </w:p>
        </w:tc>
        <w:tc>
          <w:p>
            <w:pPr>
              <w:pStyle w:val="Compact"/>
              <w:jc w:val="center"/>
            </w:pPr>
            <w:r>
              <w:t xml:space="preserve">39.53</w:t>
            </w:r>
          </w:p>
        </w:tc>
        <w:tc>
          <w:p>
            <w:pPr>
              <w:pStyle w:val="Compact"/>
              <w:jc w:val="center"/>
            </w:pPr>
            <w:r>
              <w:t xml:space="preserve">23.42</w:t>
            </w:r>
          </w:p>
        </w:tc>
        <w:tc>
          <w:p>
            <w:pPr>
              <w:pStyle w:val="Compact"/>
              <w:jc w:val="center"/>
            </w:pPr>
            <w:r>
              <w:t xml:space="preserve">45.4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38.64</w:t>
            </w:r>
          </w:p>
        </w:tc>
        <w:tc>
          <w:p>
            <w:pPr>
              <w:pStyle w:val="Compact"/>
              <w:jc w:val="center"/>
            </w:pPr>
            <w:r>
              <w:t xml:space="preserve">16.1</w:t>
            </w:r>
          </w:p>
        </w:tc>
        <w:tc>
          <w:p>
            <w:pPr>
              <w:pStyle w:val="Compact"/>
              <w:jc w:val="center"/>
            </w:pPr>
            <w:r>
              <w:t xml:space="preserve">12.14</w:t>
            </w:r>
          </w:p>
        </w:tc>
        <w:tc>
          <w:p>
            <w:pPr>
              <w:pStyle w:val="Compact"/>
              <w:jc w:val="center"/>
            </w:pPr>
            <w:r>
              <w:t xml:space="preserve">37.8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82.82</w:t>
            </w:r>
          </w:p>
        </w:tc>
        <w:tc>
          <w:p>
            <w:pPr>
              <w:pStyle w:val="Compact"/>
              <w:jc w:val="center"/>
            </w:pPr>
            <w:r>
              <w:t xml:space="preserve">7.711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35.21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27.99</w:t>
            </w:r>
          </w:p>
        </w:tc>
        <w:tc>
          <w:p>
            <w:pPr>
              <w:pStyle w:val="Compact"/>
              <w:jc w:val="center"/>
            </w:pPr>
            <w:r>
              <w:t xml:space="preserve">16.83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21.74</w:t>
            </w:r>
          </w:p>
        </w:tc>
        <w:tc>
          <w:p>
            <w:pPr>
              <w:pStyle w:val="Compact"/>
              <w:jc w:val="center"/>
            </w:pPr>
            <w:r>
              <w:t xml:space="preserve">22.48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20.2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50.16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  <w:tc>
          <w:p>
            <w:pPr>
              <w:pStyle w:val="Compact"/>
              <w:jc w:val="center"/>
            </w:pPr>
            <w:r>
              <w:t xml:space="preserve">18.79</w:t>
            </w:r>
          </w:p>
        </w:tc>
      </w:tr>
    </w:tbl>
    <w:p>
      <w:pPr>
        <w:pStyle w:val="Heading4"/>
      </w:pPr>
      <w:bookmarkStart w:id="33" w:name="tempo-de-sororreversao"/>
      <w:bookmarkEnd w:id="33"/>
      <w:r>
        <w:t xml:space="preserve">Tempo de sororreversão</w:t>
      </w:r>
    </w:p>
    <w:p>
      <w:pPr>
        <w:pStyle w:val="FirstParagraph"/>
      </w:pPr>
      <w:r>
        <w:t xml:space="preserve">Tempo de sororreversão (título = 50)</w:t>
      </w:r>
    </w:p>
    <w:p>
      <w:pPr>
        <w:pStyle w:val="Compact"/>
        <w:numPr>
          <w:numId w:val="1002"/>
          <w:ilvl w:val="0"/>
        </w:numPr>
      </w:pPr>
      <w:r>
        <w:t xml:space="preserve">DENV1 ~ 7.6 meses</w:t>
      </w:r>
    </w:p>
    <w:p>
      <w:pPr>
        <w:pStyle w:val="Compact"/>
        <w:numPr>
          <w:numId w:val="1002"/>
          <w:ilvl w:val="0"/>
        </w:numPr>
      </w:pPr>
      <w:r>
        <w:t xml:space="preserve">DENV2 ~ 6.2 meses</w:t>
      </w:r>
    </w:p>
    <w:p>
      <w:pPr>
        <w:pStyle w:val="Compact"/>
        <w:numPr>
          <w:numId w:val="1002"/>
          <w:ilvl w:val="0"/>
        </w:numPr>
      </w:pPr>
      <w:r>
        <w:t xml:space="preserve">DENV3 ~ 6.1 meses</w:t>
      </w:r>
    </w:p>
    <w:p>
      <w:pPr>
        <w:pStyle w:val="Compact"/>
        <w:numPr>
          <w:numId w:val="1002"/>
          <w:ilvl w:val="0"/>
        </w:numPr>
      </w:pPr>
      <w:r>
        <w:t xml:space="preserve">DENV4 ~ 7.2 meses</w:t>
      </w:r>
    </w:p>
    <w:p>
      <w:pPr>
        <w:pStyle w:val="FirstParagraph"/>
      </w:pPr>
      <w:r>
        <w:t xml:space="preserve">Tempo de sororreversão (título = 10)</w:t>
      </w:r>
    </w:p>
    <w:p>
      <w:pPr>
        <w:pStyle w:val="Compact"/>
        <w:numPr>
          <w:numId w:val="1003"/>
          <w:ilvl w:val="0"/>
        </w:numPr>
      </w:pPr>
      <w:r>
        <w:t xml:space="preserve">DENV1 ~ 11.7 meses</w:t>
      </w:r>
    </w:p>
    <w:p>
      <w:pPr>
        <w:pStyle w:val="Compact"/>
        <w:numPr>
          <w:numId w:val="1003"/>
          <w:ilvl w:val="0"/>
        </w:numPr>
      </w:pPr>
      <w:r>
        <w:t xml:space="preserve">DENV2 ~ 9.9 meses</w:t>
      </w:r>
    </w:p>
    <w:p>
      <w:pPr>
        <w:pStyle w:val="Compact"/>
        <w:numPr>
          <w:numId w:val="1003"/>
          <w:ilvl w:val="0"/>
        </w:numPr>
      </w:pPr>
      <w:r>
        <w:t xml:space="preserve">DENV3 ~ 9.9 meses</w:t>
      </w:r>
    </w:p>
    <w:p>
      <w:pPr>
        <w:pStyle w:val="Compact"/>
        <w:numPr>
          <w:numId w:val="1003"/>
          <w:ilvl w:val="0"/>
        </w:numPr>
      </w:pPr>
      <w:r>
        <w:t xml:space="preserve">DENV4 ~ 12.1 meses</w:t>
      </w:r>
    </w:p>
    <w:p>
      <w:pPr>
        <w:pStyle w:val="Heading2"/>
      </w:pPr>
      <w:bookmarkStart w:id="34" w:name="zika"/>
      <w:bookmarkEnd w:id="34"/>
      <w:r>
        <w:t xml:space="preserve">Zika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8907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faac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RelatÃ³rio</dc:title>
  <dc:creator>Felipe Figueiredo</dc:creator>
  <dcterms:created xsi:type="dcterms:W3CDTF">2017-06-19T20:00:58Z</dcterms:created>
  <dcterms:modified xsi:type="dcterms:W3CDTF">2017-06-19T20:00:58Z</dcterms:modified>
</cp:coreProperties>
</file>