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7.png" ContentType="image/png"/>
  <Override PartName="/word/media/rId30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</w:t>
      </w:r>
      <w:r>
        <w:t xml:space="preserve"> </w:t>
      </w:r>
      <w:r>
        <w:t xml:space="preserve">Análise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  <w:r>
        <w:t xml:space="preserve"> </w:t>
      </w:r>
      <w:r>
        <w:t xml:space="preserve">DL-2015</w:t>
      </w:r>
    </w:p>
    <w:p>
      <w:pPr>
        <w:pStyle w:val="Author"/>
      </w:pPr>
      <w:r>
        <w:t xml:space="preserve">Felipe</w:t>
      </w:r>
      <w:r>
        <w:t xml:space="preserve"> </w:t>
      </w:r>
      <w:r>
        <w:t xml:space="preserve">Figueiredo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21,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metodologia-utilizada"/>
      <w:bookmarkEnd w:id="21"/>
      <w:r>
        <w:t xml:space="preserve">Metodologia utilizada</w:t>
      </w:r>
    </w:p>
    <w:p>
      <w:r>
        <w:t xml:space="preserve">A análise descritiva foi apresentada na forma de tabelas os dados observados, expressos pela média, desvio padrão, mediana, amplitude interquartílica (AIQ), mínimo e máximo para dados numéricos (quantitativos) e pela frequência (n) e percentual (%) para dados categóricos (qualitativos). São apresentados gráficos descritivos das variáveis basais e finais. Ao longo do texto, as variáveis normais foram sumarizadas como média +/ desvio padrão (DP), e as variáveis não normais como mediana +- AIQ.</w:t>
      </w:r>
    </w:p>
    <w:p>
      <w:r>
        <w:t xml:space="preserve">Foi aplicado o teste de normalidade de Shapiro-Wilks nas variáveis numéricas. A comparação das variáveis basais e finais foi feita com o teste t pareado para variáveis normalmente distribuídas, e com o teste de Mann-Whitney pareado para variáveis que tiveram a hipótese de normalidade rejeitada. Foram calculadas as correlações entre o nível final de Vitamina D e o nível final de cada marcador. Para variáveis normais, foi aplicada a correlação de Pearson, e para variáveis não normais, a correlação não paramétrica de Spearman. Em todas as análises, foi adotada a significância de 5%. As análises estatística foram feitas utilizando o software estatístico R, versão 3.2.2 (</w:t>
      </w:r>
      <w:hyperlink r:id="rId22">
        <w:r>
          <w:rPr>
            <w:rStyle w:val="Link"/>
          </w:rPr>
          <w:t xml:space="preserve">https://www.R-project.org</w:t>
        </w:r>
      </w:hyperlink>
      <w:r>
        <w:t xml:space="preserve">).</w:t>
      </w:r>
    </w:p>
    <w:p>
      <w:pPr>
        <w:pStyle w:val="Heading1"/>
      </w:pPr>
      <w:bookmarkStart w:id="23" w:name="resultados"/>
      <w:bookmarkEnd w:id="23"/>
      <w:r>
        <w:t xml:space="preserve">Resultados</w:t>
      </w:r>
    </w:p>
    <w:p>
      <w:pPr>
        <w:pStyle w:val="Heading2"/>
      </w:pPr>
      <w:bookmarkStart w:id="24" w:name="estatisticas-descritivas"/>
      <w:bookmarkEnd w:id="24"/>
      <w:r>
        <w:t xml:space="preserve">Estatísticas descritivas</w:t>
      </w:r>
    </w:p>
    <w:p>
      <w:pPr>
        <w:pStyle w:val="Heading3"/>
      </w:pPr>
      <w:bookmarkStart w:id="25" w:name="estatisticas"/>
      <w:bookmarkEnd w:id="25"/>
      <w:r>
        <w:t xml:space="preserve">Estatísticas</w:t>
      </w:r>
    </w:p>
    <w:tbl>
      <w:tblPr>
        <w:tblStyle w:val="TableNormal"/>
        <w:tblW w:type="pct" w:w="3750.0"/>
      </w:tblPr>
      <w:tblGrid>
        <w:gridCol w:w="2750"/>
        <w:gridCol w:w="880"/>
        <w:gridCol w:w="660"/>
        <w:gridCol w:w="1100"/>
        <w:gridCol w:w="55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Média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AIQ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VITAMINAD.BASAL</w:t>
            </w:r>
          </w:p>
        </w:tc>
        <w:tc>
          <w:p>
            <w:pPr>
              <w:pStyle w:val="Compact"/>
              <w:jc w:val="right"/>
            </w:pPr>
            <w:r>
              <w:t xml:space="preserve">13.41</w:t>
            </w:r>
          </w:p>
        </w:tc>
        <w:tc>
          <w:p>
            <w:pPr>
              <w:pStyle w:val="Compact"/>
              <w:jc w:val="right"/>
            </w:pPr>
            <w:r>
              <w:t xml:space="preserve">7.27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7.6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VITAMINAD.FINAL</w:t>
            </w:r>
          </w:p>
        </w:tc>
        <w:tc>
          <w:p>
            <w:pPr>
              <w:pStyle w:val="Compact"/>
              <w:jc w:val="right"/>
            </w:pPr>
            <w:r>
              <w:t xml:space="preserve">26.78</w:t>
            </w:r>
          </w:p>
        </w:tc>
        <w:tc>
          <w:p>
            <w:pPr>
              <w:pStyle w:val="Compact"/>
              <w:jc w:val="right"/>
            </w:pPr>
            <w:r>
              <w:t xml:space="preserve">10.87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ADIPONECTINA.BASAL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ADIPONECTINA.FINAL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CTX.BASAL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CTX.FINAL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FAO.BASAL</w:t>
            </w:r>
          </w:p>
        </w:tc>
        <w:tc>
          <w:p>
            <w:pPr>
              <w:pStyle w:val="Compact"/>
              <w:jc w:val="right"/>
            </w:pPr>
            <w:r>
              <w:t xml:space="preserve">30.23</w:t>
            </w:r>
          </w:p>
        </w:tc>
        <w:tc>
          <w:p>
            <w:pPr>
              <w:pStyle w:val="Compact"/>
              <w:jc w:val="right"/>
            </w:pPr>
            <w:r>
              <w:t xml:space="preserve">13.8</w:t>
            </w:r>
          </w:p>
        </w:tc>
        <w:tc>
          <w:p>
            <w:pPr>
              <w:pStyle w:val="Compact"/>
              <w:jc w:val="right"/>
            </w:pPr>
            <w:r>
              <w:t xml:space="preserve">33.5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FAO.FINAL</w:t>
            </w:r>
          </w:p>
        </w:tc>
        <w:tc>
          <w:p>
            <w:pPr>
              <w:pStyle w:val="Compact"/>
              <w:jc w:val="right"/>
            </w:pPr>
            <w:r>
              <w:t xml:space="preserve">21.99</w:t>
            </w:r>
          </w:p>
        </w:tc>
        <w:tc>
          <w:p>
            <w:pPr>
              <w:pStyle w:val="Compact"/>
              <w:jc w:val="right"/>
            </w:pPr>
            <w:r>
              <w:t xml:space="preserve">8.95</w:t>
            </w:r>
          </w:p>
        </w:tc>
        <w:tc>
          <w:p>
            <w:pPr>
              <w:pStyle w:val="Compact"/>
              <w:jc w:val="right"/>
            </w:pPr>
            <w:r>
              <w:t xml:space="preserve">22.9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LEPTINA.BASAL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LEPTINA.FINAL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OPG.BASAL</w:t>
            </w:r>
          </w:p>
        </w:tc>
        <w:tc>
          <w:p>
            <w:pPr>
              <w:pStyle w:val="Compact"/>
              <w:jc w:val="right"/>
            </w:pPr>
            <w:r>
              <w:t xml:space="preserve">2.68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OPG.FINAL</w:t>
            </w:r>
          </w:p>
        </w:tc>
        <w:tc>
          <w:p>
            <w:pPr>
              <w:pStyle w:val="Compact"/>
              <w:jc w:val="right"/>
            </w:pPr>
            <w:r>
              <w:t xml:space="preserve">3.12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TNFALFA.BASAL</w:t>
            </w:r>
          </w:p>
        </w:tc>
        <w:tc>
          <w:p>
            <w:pPr>
              <w:pStyle w:val="Compact"/>
              <w:jc w:val="right"/>
            </w:pPr>
            <w:r>
              <w:t xml:space="preserve">4.83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TNFALFA.FINAL</w:t>
            </w:r>
          </w:p>
        </w:tc>
        <w:tc>
          <w:p>
            <w:pPr>
              <w:pStyle w:val="Compact"/>
              <w:jc w:val="right"/>
            </w:pPr>
            <w:r>
              <w:t xml:space="preserve">3.87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</w:tr>
    </w:tbl>
    <w:p>
      <w:r>
        <w:t xml:space="preserve">Tabela 1: Estatísticas descritivas da vitamina D e marcadores (siglas), em média (DP), mediana (AIQ).</w:t>
      </w:r>
    </w:p>
    <w:p>
      <w:r>
        <w:t xml:space="preserve">As estatísticas descritivas das variáveis analisadas estão sumarizadas na tabela</w:t>
      </w:r>
    </w:p>
    <w:p>
      <w:pPr>
        <w:pStyle w:val="Heading3"/>
      </w:pPr>
      <w:bookmarkStart w:id="26" w:name="graficos"/>
      <w:bookmarkEnd w:id="26"/>
      <w:r>
        <w:t xml:space="preserve">Gráficos</w:t>
      </w:r>
    </w:p>
    <w:p>
      <w:r>
        <w:drawing>
          <wp:inline>
            <wp:extent cx="5440680" cy="47856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as/boxplots-vitamina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785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Boxplots da Vitamina D</w:t>
      </w:r>
    </w:p>
    <w:p>
      <w:r>
        <w:t xml:space="preserve">Figura 1: Níveis basal e final da Vitamina D (boxplot: mediana, quartis, outlier)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as/boxplots-marcador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Boxplots dos marcadores</w:t>
      </w:r>
    </w:p>
    <w:p>
      <w:r>
        <w:t xml:space="preserve">Figura 2: Níveis basal e final dos marcadores ADP, CTX, FAO, LEP, OPG e TNF (siglas e boxplot: mediana, quartis, outliers)</w:t>
      </w:r>
    </w:p>
    <w:p>
      <w:r>
        <w:t xml:space="preserve">São apresentadas nas figuras 3 e 4 as retas de melhor ajuste aos ...</w:t>
      </w:r>
    </w:p>
    <w:p>
      <w:r>
        <w:t xml:space="preserve">Os níveis basal e final foram significativamente diferentes, conforme seção X, e resumidos na tabela X.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as/scatterplots-vitamina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Vitamina D</w:t>
      </w:r>
    </w:p>
    <w:p>
      <w:r>
        <w:t xml:space="preserve">Figura 3: Comparação entre a Vitamina D basal e final (completar legenda). Índice de correlação de Spearman: -0.1241066 (p-valor=0.592)</w:t>
      </w:r>
    </w:p>
    <w:p>
      <w:r>
        <w:t xml:space="preserve">Sugestão:</w:t>
      </w:r>
      <w:r>
        <w:t xml:space="preserve"> </w:t>
      </w:r>
      <w:r>
        <w:rPr>
          <w:b/>
        </w:rPr>
        <w:t xml:space="preserve">não incluir a figura acima, da reta de melhor ajuste da vitamina D</w:t>
      </w:r>
      <w:r>
        <w:t xml:space="preserve">. Incluir no trabalho apenas as figuras 1 e 2 que ilustram a diferença entre os níveis basal e final, e a figura abaixo, com os dados e a reta de melhor ajuste dos marcadores.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as/scatterplots-marcador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marcadores</w:t>
      </w:r>
    </w:p>
    <w:p>
      <w:r>
        <w:t xml:space="preserve">Figura 4: Comparação entre os níveis basal e final dos marcadores ADP, CTX, FAO, LEP, OPG e TNF (completar, siglas, etc). A linha azul é a reta de melhor ajuste aos dados. Índices de correlação de Spearman: ADP (rho=0.6564454, p-valor=0.001229), CTX (rho=-0.1102081, p-valor=0.6344), FAO (rho=0.3164392, p-valor=0.1623), LEP (rho=0.547378, p-valor=0.01022), OPG (rho=0.8328939, p-valor=2.791e-06) e TNF (rho=0.464204, p-valor=0.03402).</w:t>
      </w:r>
    </w:p>
    <w:p>
      <w:pPr>
        <w:pStyle w:val="Heading2"/>
      </w:pPr>
      <w:bookmarkStart w:id="31" w:name="normalidade"/>
      <w:bookmarkEnd w:id="31"/>
      <w:r>
        <w:t xml:space="preserve">Normalidade</w:t>
      </w:r>
    </w:p>
    <w:p>
      <w:r>
        <w:t xml:space="preserve">Considerando conjuntamente os valores basal e final, nenhuma das variáveis parece ter distribuição normal. Deve-se rejeitar a hipótese de normalidade de</w:t>
      </w:r>
      <w:r>
        <w:t xml:space="preserve"> </w:t>
      </w:r>
      <w:r>
        <w:rPr>
          <w:b/>
        </w:rPr>
        <w:t xml:space="preserve">todas</w:t>
      </w:r>
      <w:r>
        <w:t xml:space="preserve"> </w:t>
      </w:r>
      <w:r>
        <w:t xml:space="preserve">as variáveis, e utilizar apenas métodos e testes não paramétricos. Tabela 2.</w:t>
      </w:r>
    </w:p>
    <w:tbl>
      <w:tblPr>
        <w:tblStyle w:val="TableNormal"/>
        <w:tblW w:type="pct" w:w="1944.4444444444446"/>
      </w:tblPr>
      <w:tblGrid>
        <w:gridCol w:w="2090"/>
        <w:gridCol w:w="99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Variável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VITAMINAD.BASAL</w:t>
            </w:r>
          </w:p>
        </w:tc>
        <w:tc>
          <w:p>
            <w:pPr>
              <w:pStyle w:val="Compact"/>
              <w:jc w:val="right"/>
            </w:pPr>
            <w:r>
              <w:t xml:space="preserve">0.05342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VITAMINAD.FINAL</w:t>
            </w:r>
          </w:p>
        </w:tc>
        <w:tc>
          <w:p>
            <w:pPr>
              <w:pStyle w:val="Compact"/>
              <w:jc w:val="right"/>
            </w:pPr>
            <w:r>
              <w:t xml:space="preserve">0.6507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ADIPONECTINA.BASAL</w:t>
            </w:r>
          </w:p>
        </w:tc>
        <w:tc>
          <w:p>
            <w:pPr>
              <w:pStyle w:val="Compact"/>
              <w:jc w:val="right"/>
            </w:pPr>
            <w:r>
              <w:t xml:space="preserve">0.9775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ADIPONECTINA.FINAL</w:t>
            </w:r>
          </w:p>
        </w:tc>
        <w:tc>
          <w:p>
            <w:pPr>
              <w:pStyle w:val="Compact"/>
              <w:jc w:val="right"/>
            </w:pPr>
            <w:r>
              <w:t xml:space="preserve">0.8827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CTX.BASAL</w:t>
            </w:r>
          </w:p>
        </w:tc>
        <w:tc>
          <w:p>
            <w:pPr>
              <w:pStyle w:val="Compact"/>
              <w:jc w:val="right"/>
            </w:pPr>
            <w:r>
              <w:t xml:space="preserve">0.7354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CTX.FINAL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FAO.BASAL</w:t>
            </w:r>
          </w:p>
        </w:tc>
        <w:tc>
          <w:p>
            <w:pPr>
              <w:pStyle w:val="Compact"/>
              <w:jc w:val="right"/>
            </w:pPr>
            <w:r>
              <w:t xml:space="preserve">0.2291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FAO.FINAL</w:t>
            </w:r>
          </w:p>
        </w:tc>
        <w:tc>
          <w:p>
            <w:pPr>
              <w:pStyle w:val="Compact"/>
              <w:jc w:val="right"/>
            </w:pPr>
            <w:r>
              <w:t xml:space="preserve">0.8838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LEPTINA.BASAL</w:t>
            </w:r>
          </w:p>
        </w:tc>
        <w:tc>
          <w:p>
            <w:pPr>
              <w:pStyle w:val="Compact"/>
              <w:jc w:val="right"/>
            </w:pPr>
            <w:r>
              <w:t xml:space="preserve">0.2637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LEPTINA.FINAL</w:t>
            </w:r>
          </w:p>
        </w:tc>
        <w:tc>
          <w:p>
            <w:pPr>
              <w:pStyle w:val="Compact"/>
              <w:jc w:val="right"/>
            </w:pPr>
            <w:r>
              <w:t xml:space="preserve">0.05006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OPG.BASAL</w:t>
            </w:r>
          </w:p>
        </w:tc>
        <w:tc>
          <w:p>
            <w:pPr>
              <w:pStyle w:val="Compact"/>
              <w:jc w:val="right"/>
            </w:pPr>
            <w:r>
              <w:t xml:space="preserve">0.0624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OPG.FINAL</w:t>
            </w:r>
          </w:p>
        </w:tc>
        <w:tc>
          <w:p>
            <w:pPr>
              <w:pStyle w:val="Compact"/>
              <w:jc w:val="right"/>
            </w:pPr>
            <w:r>
              <w:t xml:space="preserve">0.3222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TNFALFA.BASAL</w:t>
            </w:r>
          </w:p>
        </w:tc>
        <w:tc>
          <w:p>
            <w:pPr>
              <w:pStyle w:val="Compact"/>
              <w:jc w:val="right"/>
            </w:pPr>
            <w:r>
              <w:t xml:space="preserve">0.2568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TNFALFA.FINAL</w:t>
            </w:r>
          </w:p>
        </w:tc>
        <w:tc>
          <w:p>
            <w:pPr>
              <w:pStyle w:val="Compact"/>
              <w:jc w:val="right"/>
            </w:pPr>
            <w:r>
              <w:t xml:space="preserve">0.6046</w:t>
            </w:r>
          </w:p>
        </w:tc>
      </w:tr>
    </w:tbl>
    <w:p>
      <w:r>
        <w:t xml:space="preserve">Tabela 2: Testes de normalidade dos níveis basal e final da Vitamina D e dos marcadores ADP, CTX, FAO, LEP, OPG e TNF (completar, siglas, etc). P-valores apresentados para o teste de Shapiro-Wilks.</w:t>
      </w:r>
    </w:p>
    <w:p>
      <w:pPr>
        <w:pStyle w:val="Heading2"/>
      </w:pPr>
      <w:bookmarkStart w:id="32" w:name="testes-pareados"/>
      <w:bookmarkEnd w:id="32"/>
      <w:r>
        <w:t xml:space="preserve">Testes pareados</w:t>
      </w:r>
    </w:p>
    <w:p>
      <w:r>
        <w:t xml:space="preserve">Todos os testes pareados indicaram aumento/diminuição altamente significativa entre o valor basal e final de cada variável. Tabela 3.</w:t>
      </w:r>
    </w:p>
    <w:tbl>
      <w:tblPr>
        <w:tblStyle w:val="TableNormal"/>
        <w:tblW w:type="pct" w:w="2291.666666666667"/>
      </w:tblPr>
      <w:tblGrid>
        <w:gridCol w:w="1210"/>
        <w:gridCol w:w="1210"/>
        <w:gridCol w:w="121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Variável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Desfecho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VITD</w:t>
            </w:r>
          </w:p>
        </w:tc>
        <w:tc>
          <w:p>
            <w:pPr>
              <w:pStyle w:val="Compact"/>
              <w:jc w:val="left"/>
            </w:pPr>
            <w:r>
              <w:t xml:space="preserve">aumentou</w:t>
            </w:r>
          </w:p>
        </w:tc>
        <w:tc>
          <w:p>
            <w:pPr>
              <w:pStyle w:val="Compact"/>
              <w:jc w:val="right"/>
            </w:pPr>
            <w:r>
              <w:t xml:space="preserve">0.0003735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ADP</w:t>
            </w:r>
          </w:p>
        </w:tc>
        <w:tc>
          <w:p>
            <w:pPr>
              <w:pStyle w:val="Compact"/>
              <w:jc w:val="left"/>
            </w:pPr>
            <w:r>
              <w:t xml:space="preserve">aumentou</w:t>
            </w:r>
          </w:p>
        </w:tc>
        <w:tc>
          <w:p>
            <w:pPr>
              <w:pStyle w:val="Compact"/>
              <w:jc w:val="right"/>
            </w:pPr>
            <w:r>
              <w:t xml:space="preserve">3.683e-05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CTX</w:t>
            </w:r>
          </w:p>
        </w:tc>
        <w:tc>
          <w:p>
            <w:pPr>
              <w:pStyle w:val="Compact"/>
              <w:jc w:val="left"/>
            </w:pPr>
            <w:r>
              <w:t xml:space="preserve">diminuiu</w:t>
            </w:r>
          </w:p>
        </w:tc>
        <w:tc>
          <w:p>
            <w:pPr>
              <w:pStyle w:val="Compact"/>
              <w:jc w:val="right"/>
            </w:pPr>
            <w:r>
              <w:t xml:space="preserve">0.0004796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FAO</w:t>
            </w:r>
          </w:p>
        </w:tc>
        <w:tc>
          <w:p>
            <w:pPr>
              <w:pStyle w:val="Compact"/>
              <w:jc w:val="left"/>
            </w:pPr>
            <w:r>
              <w:t xml:space="preserve">diminuiu</w:t>
            </w:r>
          </w:p>
        </w:tc>
        <w:tc>
          <w:p>
            <w:pPr>
              <w:pStyle w:val="Compact"/>
              <w:jc w:val="right"/>
            </w:pPr>
            <w:r>
              <w:t xml:space="preserve">0.008773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LEP</w:t>
            </w:r>
          </w:p>
        </w:tc>
        <w:tc>
          <w:p>
            <w:pPr>
              <w:pStyle w:val="Compact"/>
              <w:jc w:val="left"/>
            </w:pPr>
            <w:r>
              <w:t xml:space="preserve">diminuiu</w:t>
            </w:r>
          </w:p>
        </w:tc>
        <w:tc>
          <w:p>
            <w:pPr>
              <w:pStyle w:val="Compact"/>
              <w:jc w:val="right"/>
            </w:pPr>
            <w:r>
              <w:t xml:space="preserve">0.0002087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OPG</w:t>
            </w:r>
          </w:p>
        </w:tc>
        <w:tc>
          <w:p>
            <w:pPr>
              <w:pStyle w:val="Compact"/>
              <w:jc w:val="left"/>
            </w:pPr>
            <w:r>
              <w:t xml:space="preserve">aumentou</w:t>
            </w:r>
          </w:p>
        </w:tc>
        <w:tc>
          <w:p>
            <w:pPr>
              <w:pStyle w:val="Compact"/>
              <w:jc w:val="right"/>
            </w:pPr>
            <w:r>
              <w:t xml:space="preserve">4.704e-05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TNF</w:t>
            </w:r>
          </w:p>
        </w:tc>
        <w:tc>
          <w:p>
            <w:pPr>
              <w:pStyle w:val="Compact"/>
              <w:jc w:val="left"/>
            </w:pPr>
            <w:r>
              <w:t xml:space="preserve">diminuiu</w:t>
            </w:r>
          </w:p>
        </w:tc>
        <w:tc>
          <w:p>
            <w:pPr>
              <w:pStyle w:val="Compact"/>
              <w:jc w:val="right"/>
            </w:pPr>
            <w:r>
              <w:t xml:space="preserve">0.0003489</w:t>
            </w:r>
          </w:p>
        </w:tc>
      </w:tr>
    </w:tbl>
    <w:p>
      <w:r>
        <w:t xml:space="preserve">Tabela 3: Diferenças entre os valores basal e final dos marcadores ADP, CTX, FAO, LEP, OPG e TNF (siglas). P-valores apresentados de acordo com o teste de Mann-Whitney pareado.</w:t>
      </w:r>
    </w:p>
    <w:p>
      <w:pPr>
        <w:pStyle w:val="Heading2"/>
      </w:pPr>
      <w:bookmarkStart w:id="33" w:name="correlacoes"/>
      <w:bookmarkEnd w:id="33"/>
      <w:r>
        <w:t xml:space="preserve">Correlações</w:t>
      </w:r>
    </w:p>
    <w:p>
      <w:r>
        <w:t xml:space="preserve">Nenhuma das correlações entre Vitamina D e marcadores foi significativa com os dados analisados. Tabela 4</w:t>
      </w:r>
    </w:p>
    <w:tbl>
      <w:tblPr>
        <w:tblStyle w:val="TableNormal"/>
        <w:tblW w:type="pct" w:w="2152.777777777778"/>
      </w:tblPr>
      <w:tblGrid>
        <w:gridCol w:w="121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Variável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rho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ADP</w:t>
            </w:r>
          </w:p>
        </w:tc>
        <w:tc>
          <w:p>
            <w:pPr>
              <w:pStyle w:val="Compact"/>
              <w:jc w:val="right"/>
            </w:pPr>
            <w:r>
              <w:t xml:space="preserve">0.1167</w:t>
            </w:r>
          </w:p>
        </w:tc>
        <w:tc>
          <w:p>
            <w:pPr>
              <w:pStyle w:val="Compact"/>
              <w:jc w:val="right"/>
            </w:pPr>
            <w:r>
              <w:t xml:space="preserve">0.6143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CTX</w:t>
            </w:r>
          </w:p>
        </w:tc>
        <w:tc>
          <w:p>
            <w:pPr>
              <w:pStyle w:val="Compact"/>
              <w:jc w:val="right"/>
            </w:pPr>
            <w:r>
              <w:t xml:space="preserve">0.0156</w:t>
            </w:r>
          </w:p>
        </w:tc>
        <w:tc>
          <w:p>
            <w:pPr>
              <w:pStyle w:val="Compact"/>
              <w:jc w:val="right"/>
            </w:pPr>
            <w:r>
              <w:t xml:space="preserve">0.9465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FAO</w:t>
            </w:r>
          </w:p>
        </w:tc>
        <w:tc>
          <w:p>
            <w:pPr>
              <w:pStyle w:val="Compact"/>
              <w:jc w:val="right"/>
            </w:pPr>
            <w:r>
              <w:t xml:space="preserve">0.2671</w:t>
            </w:r>
          </w:p>
        </w:tc>
        <w:tc>
          <w:p>
            <w:pPr>
              <w:pStyle w:val="Compact"/>
              <w:jc w:val="right"/>
            </w:pPr>
            <w:r>
              <w:t xml:space="preserve">0.2419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LEP</w:t>
            </w:r>
          </w:p>
        </w:tc>
        <w:tc>
          <w:p>
            <w:pPr>
              <w:pStyle w:val="Compact"/>
              <w:jc w:val="right"/>
            </w:pPr>
            <w:r>
              <w:t xml:space="preserve">0.1255</w:t>
            </w:r>
          </w:p>
        </w:tc>
        <w:tc>
          <w:p>
            <w:pPr>
              <w:pStyle w:val="Compact"/>
              <w:jc w:val="right"/>
            </w:pPr>
            <w:r>
              <w:t xml:space="preserve">0.5878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OPG</w:t>
            </w:r>
          </w:p>
        </w:tc>
        <w:tc>
          <w:p>
            <w:pPr>
              <w:pStyle w:val="Compact"/>
              <w:jc w:val="right"/>
            </w:pPr>
            <w:r>
              <w:t xml:space="preserve">0.03174</w:t>
            </w:r>
          </w:p>
        </w:tc>
        <w:tc>
          <w:p>
            <w:pPr>
              <w:pStyle w:val="Compact"/>
              <w:jc w:val="right"/>
            </w:pPr>
            <w:r>
              <w:t xml:space="preserve">0.8914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TNF</w:t>
            </w:r>
          </w:p>
        </w:tc>
        <w:tc>
          <w:p>
            <w:pPr>
              <w:pStyle w:val="Compact"/>
              <w:jc w:val="right"/>
            </w:pPr>
            <w:r>
              <w:t xml:space="preserve">-0.003259</w:t>
            </w:r>
          </w:p>
        </w:tc>
        <w:tc>
          <w:p>
            <w:pPr>
              <w:pStyle w:val="Compact"/>
              <w:jc w:val="right"/>
            </w:pPr>
            <w:r>
              <w:t xml:space="preserve">0.9888</w:t>
            </w:r>
          </w:p>
        </w:tc>
      </w:tr>
    </w:tbl>
    <w:p>
      <w:r>
        <w:t xml:space="preserve">Tabela 4: Coeficientes de correlação de Spearman entre o nível final de Vitamina D e o nível final dos marcadores ADP, CTX, FAO, LEP, OPG e TNF (siglas).</w:t>
      </w:r>
    </w:p>
    <w:p>
      <w:pPr>
        <w:pStyle w:val="Heading1"/>
      </w:pPr>
      <w:bookmarkStart w:id="34" w:name="conclusoes-sinteticas"/>
      <w:bookmarkEnd w:id="34"/>
      <w:r>
        <w:t xml:space="preserve">Conclusões sintéticas</w:t>
      </w:r>
    </w:p>
    <w:p>
      <w:pPr>
        <w:pStyle w:val="Compact"/>
        <w:numPr>
          <w:numId w:val="1001"/>
          <w:ilvl w:val="0"/>
        </w:numPr>
      </w:pPr>
      <w:r>
        <w:t xml:space="preserve">Nenhuma das variáveis parece ser normalmente distribuída (Tabela 2). Foram utilizados testes não-paramétricos.</w:t>
      </w:r>
    </w:p>
    <w:p>
      <w:pPr>
        <w:pStyle w:val="Compact"/>
        <w:numPr>
          <w:numId w:val="1001"/>
          <w:ilvl w:val="0"/>
        </w:numPr>
      </w:pPr>
      <w:r>
        <w:t xml:space="preserve">Todas as diferenças entre o nível basal e final foram altamente significativas (Tabela 3)</w:t>
      </w:r>
    </w:p>
    <w:p>
      <w:pPr>
        <w:pStyle w:val="Compact"/>
        <w:numPr>
          <w:numId w:val="1001"/>
          <w:ilvl w:val="0"/>
        </w:numPr>
      </w:pPr>
      <w:r>
        <w:t xml:space="preserve">Nenhuma correlação entre a Vitamina D e os marcadores foi significativa (Tabela 4)</w:t>
      </w:r>
    </w:p>
    <w:p>
      <w:pPr>
        <w:pStyle w:val="Compact"/>
        <w:numPr>
          <w:numId w:val="1001"/>
          <w:ilvl w:val="0"/>
        </w:numPr>
      </w:pPr>
      <w:r>
        <w:t xml:space="preserve">Algumas correlações entre o nível basal e final foram significativas (Figura 4)</w:t>
      </w:r>
    </w:p>
    <w:p>
      <w:r>
        <w:t xml:space="preserve">A maior parte das correlações não foram significativas, no entanto os testes de diferença foram altamente significativos. Isso pode ser observado quando a correlação discorda da diferença. Por exemplo, FAO tem correlação positiva (rho=0.3164392), embora seu nível final tenha sido significativamente</w:t>
      </w:r>
      <w:r>
        <w:t xml:space="preserve"> </w:t>
      </w:r>
      <w:r>
        <w:rPr>
          <w:b/>
        </w:rPr>
        <w:t xml:space="preserve">menor</w:t>
      </w:r>
      <w:r>
        <w:t xml:space="preserve"> </w:t>
      </w:r>
      <w:r>
        <w:t xml:space="preserve">que o nível basal (p-valor=0.008773), o que pode ser observado na Figura 2.</w:t>
      </w:r>
    </w:p>
    <w:p>
      <w:r>
        <w:t xml:space="preserve">Minha sugestão é evitar discutir os valores de correlação mas apenas apresentar os resultados, indicando que não são significativos.</w:t>
      </w:r>
    </w:p>
    <w:p>
      <w:r>
        <w:t xml:space="preserve">Possíveis justificativas para estas observações incluem:</w:t>
      </w:r>
    </w:p>
    <w:p>
      <w:pPr>
        <w:pStyle w:val="Compact"/>
        <w:numPr>
          <w:numId w:val="1002"/>
          <w:ilvl w:val="0"/>
        </w:numPr>
      </w:pPr>
      <w:r>
        <w:t xml:space="preserve">poucos dados</w:t>
      </w:r>
    </w:p>
    <w:p>
      <w:pPr>
        <w:pStyle w:val="Compact"/>
        <w:numPr>
          <w:numId w:val="1002"/>
          <w:ilvl w:val="0"/>
        </w:numPr>
      </w:pPr>
      <w:r>
        <w:t xml:space="preserve">outliers que possivelmente deveriam ser removidos</w:t>
      </w:r>
    </w:p>
    <w:p>
      <w:r>
        <w:t xml:space="preserve">Observe que com tão poucos casos, remover outliers possivelmente tornaria a maior parte das análises inconcludentes. Lembre-se que este trabalho é um estudo de caso, e portanto tudo que foi observado pode e deve ser reportado como tal, sem garantias de generalidade.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71c5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bc283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9" Target="media/rId29.png" /><Relationship Type="http://schemas.openxmlformats.org/officeDocument/2006/relationships/hyperlink" Id="rId22" Target="https://www.R-project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R-project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Análise de dados DL-2015</dc:title>
  <dc:creator>Felipe Figueiredo</dc:creator>
  <dcterms:created xsi:type="dcterms:W3CDTF">2016-01-21</dcterms:created>
  <dcterms:modified xsi:type="dcterms:W3CDTF">2016-01-21</dcterms:modified>
</cp:coreProperties>
</file>