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artigo</w:t>
      </w:r>
    </w:p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FirstParagraph"/>
      </w:pPr>
      <w:r>
        <w:t xml:space="preserve">As variáveis categóricas foram descritas como frequência e proporção (%).</w:t>
      </w:r>
      <w:r>
        <w:t xml:space="preserve"> </w:t>
      </w:r>
      <w:r>
        <w:t xml:space="preserve">As variáveis contínuas foram descritas como média e desvio-padrão (DP).</w:t>
      </w:r>
      <w:r>
        <w:t xml:space="preserve"> </w:t>
      </w:r>
      <w:r>
        <w:t xml:space="preserve">Além da descrição sumária, as variáveis contínuas foram convertidas em categóricas para determinar se havia associação nos desfechos disfagia e disfonia.</w:t>
      </w:r>
    </w:p>
    <w:p>
      <w:pPr>
        <w:pStyle w:val="BodyText"/>
      </w:pPr>
      <w:r>
        <w:t xml:space="preserve">Foram utilizados dois critérios complementares para inferir se houve associação entre as variáveis coletadas e os desfechos observados.</w:t>
      </w:r>
      <w:r>
        <w:t xml:space="preserve"> </w:t>
      </w:r>
      <w:r>
        <w:t xml:space="preserve">Para as variáveis contínuas foi usado o teste t de student.</w:t>
      </w:r>
      <w:r>
        <w:t xml:space="preserve"> </w:t>
      </w:r>
      <w:r>
        <w:t xml:space="preserve">No caso das variáveis categóricas foi usada a razão de chances (OR, odds-ratio em inglês).</w:t>
      </w:r>
      <w:r>
        <w:t xml:space="preserve"> </w:t>
      </w:r>
      <w:r>
        <w:t xml:space="preserve">Foram apresentados também os intervalos de confiança de 95% da OR (IC 95%).</w:t>
      </w:r>
      <w:r>
        <w:t xml:space="preserve"> </w:t>
      </w:r>
      <w:r>
        <w:t xml:space="preserve">Para determinação do OR os dados foram estruturados em categorias binárias, e comparados com a presença ou ausência de disfagia, e também com a presença ou ausência de disfonia.</w:t>
      </w:r>
      <w:r>
        <w:t xml:space="preserve"> </w:t>
      </w:r>
      <w:r>
        <w:t xml:space="preserve">Os dados estudados foram: gênero, cirurgia realizada por fratura ou sequela de fratura, mielopatia associada, uso de placa cervical anterior para fixação da artrodese e extensão das cirurgias até a região cervical alta (quando o nível proximal era C4 ou superior).</w:t>
      </w:r>
      <w:r>
        <w:t xml:space="preserve"> </w:t>
      </w:r>
      <w:r>
        <w:t xml:space="preserve">Dentre as variáveis contínuas assim categorizadas, o IMC de cada paciente foi simplificado como obesidade (IMC&gt;=30), o tempo da cirurgia foi categorizado como cirurgias longas (&gt;= 2 horas) ou curtas (&lt; 2 horas), a quantidade de níveis de cirurgia foi categorizada como cirurgias pequenas (1 ou dois níveis de artrodese) ou grandes (3 ou mais níveis) e a presença ou ausência de corpectomias.</w:t>
      </w:r>
    </w:p>
    <w:p>
      <w:pPr>
        <w:pStyle w:val="BodyText"/>
      </w:pPr>
      <w:r>
        <w:t xml:space="preserve">Todas as análises estatísticas foram executadas no R 3.4.0 (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FirstParagraph"/>
      </w:pPr>
      <w:r>
        <w:t xml:space="preserve">Os 47 pacientes observados possuem idades entre 41 e 77 anos, IMC entre 20.8 e 44.8 kg/m2, e o tempo da cirurgia variando entre 1 hora e 15 minutos e 5 horas e 30 minutos.</w:t>
      </w:r>
      <w:r>
        <w:t xml:space="preserve"> </w:t>
      </w:r>
      <w:r>
        <w:t xml:space="preserve">Estas variáveis foram estratificados de acordo com os desfechos de disfagia e disfonia.</w:t>
      </w:r>
      <w:r>
        <w:t xml:space="preserve"> </w:t>
      </w:r>
      <w:r>
        <w:t xml:space="preserve">Dos 47 pacientes da amostra, 5 não tiveram informações disponíveis de altura e/ou peso necessárias para o cálculo do IMC, portanto este dado foi calculado com os 42 pacientes em que estes dados estavam disponíveis.</w:t>
      </w:r>
      <w:r>
        <w:t xml:space="preserve"> </w:t>
      </w:r>
      <w:r>
        <w:t xml:space="preserve">Todas as outras informações estavam completos (N=47).</w:t>
      </w:r>
    </w:p>
    <w:p>
      <w:pPr>
        <w:pStyle w:val="Heading2"/>
      </w:pPr>
      <w:bookmarkStart w:id="24" w:name="prevalencia-da-disfagia-e-disfonia"/>
      <w:bookmarkEnd w:id="24"/>
      <w:r>
        <w:t xml:space="preserve">Prevalência da disfagia e disfonia</w:t>
      </w:r>
    </w:p>
    <w:p>
      <w:pPr>
        <w:pStyle w:val="FirstParagraph"/>
      </w:pPr>
      <w:r>
        <w:t xml:space="preserve">A disfagia foi diagnosticada em 36 pacientes com taxa de prevalência estimada em 76.6% (IC 95%: [61.6%, 87.2%]) no período estudado.</w:t>
      </w:r>
      <w:r>
        <w:t xml:space="preserve"> </w:t>
      </w:r>
      <w:r>
        <w:t xml:space="preserve">A disfonia foi diagnosticada em 11 pacientes, com taxa de prevalência estimada em 23.4% (IC 95%: [12.8%, 38.4%]) no período estudado.</w:t>
      </w:r>
    </w:p>
    <w:p>
      <w:pPr>
        <w:pStyle w:val="BodyText"/>
      </w:pPr>
      <w:r>
        <w:t xml:space="preserve">Dentre os 47 pacientes, 11 (23.4%) tiveram diagnóstico negativo para ambas condições e 11 (23.4%) tiveram diagnóstico positivo para ambas condições.</w:t>
      </w:r>
      <w:r>
        <w:t xml:space="preserve"> </w:t>
      </w:r>
      <w:r>
        <w:t xml:space="preserve">Houve 25 (53.2%) pacientes diagnosticados com disfagia, mas que não apresentaram disfonia.</w:t>
      </w:r>
      <w:r>
        <w:t xml:space="preserve"> </w:t>
      </w:r>
      <w:r>
        <w:t xml:space="preserve">Nenhum paciente apresentou disfonia sem apresentar disfagia.</w:t>
      </w:r>
    </w:p>
    <w:p>
      <w:pPr>
        <w:pStyle w:val="Heading2"/>
      </w:pPr>
      <w:bookmarkStart w:id="25" w:name="disfagia"/>
      <w:bookmarkEnd w:id="25"/>
      <w:r>
        <w:t xml:space="preserve">Disfagia</w:t>
      </w:r>
    </w:p>
    <w:p>
      <w:pPr>
        <w:pStyle w:val="FirstParagraph"/>
      </w:pPr>
      <w:r>
        <w:t xml:space="preserve">Na estratificação por disfagia, não foi observada diferença significativa na idade (p = 0.188), IMC (p = 0.446) e no tempo de cirurgia em minutos (p = 0.544).</w:t>
      </w:r>
      <w:r>
        <w:t xml:space="preserve"> </w:t>
      </w:r>
      <w:r>
        <w:t xml:space="preserve">A idade média (DP) dos pacientes que apresentaram disfagia foi 57.14 (7.98) anos e dos pacientes que não apresentaram foi 53.27 (9.74) anos.</w:t>
      </w:r>
      <w:r>
        <w:t xml:space="preserve"> </w:t>
      </w:r>
      <w:r>
        <w:t xml:space="preserve">O IMC médio (DP) nos pacientes disfágicos foi 27.79 (3.91) kg/m2 e nos pacientes não disfágicos 29.05 (6.18) kg/m2.</w:t>
      </w:r>
      <w:r>
        <w:t xml:space="preserve"> </w:t>
      </w:r>
      <w:r>
        <w:t xml:space="preserve">A duração média (DP) da cirurgia dos pacientes diagnosticados com disfagia foi 189.58 (72.99) minutos, enquanto os pacientes que não apresentaram foi 174.55 (65.44) minutos.</w:t>
      </w:r>
    </w:p>
    <w:p>
      <w:pPr>
        <w:pStyle w:val="BodyText"/>
      </w:pPr>
      <w:r>
        <w:t xml:space="preserve">Não observamos neste estudo evidências de associação entre disfagia e</w:t>
      </w:r>
      <w:r>
        <w:t xml:space="preserve"> </w:t>
      </w:r>
      <w:r>
        <w:t xml:space="preserve">gênero (OR: 0.2; IC 95%: [0, 1.3]),</w:t>
      </w:r>
      <w:r>
        <w:t xml:space="preserve"> </w:t>
      </w:r>
      <w:r>
        <w:t xml:space="preserve">obesidade (OR: 1.8; IC 95%: [0.3, 20.4]),</w:t>
      </w:r>
      <w:r>
        <w:t xml:space="preserve"> </w:t>
      </w:r>
      <w:r>
        <w:t xml:space="preserve">presença de fraturas ou sequelas (OR: 0.6; IC 95%: [0, 38.1]),</w:t>
      </w:r>
      <w:r>
        <w:t xml:space="preserve"> </w:t>
      </w:r>
      <w:r>
        <w:t xml:space="preserve">presença de mielopatia (OR: 2.1; IC 95%: [0.4, 10.7]),</w:t>
      </w:r>
      <w:r>
        <w:t xml:space="preserve"> </w:t>
      </w:r>
      <w:r>
        <w:t xml:space="preserve">o uso de placas (OR: 0; IC 95%: [0, 127.4]),</w:t>
      </w:r>
      <w:r>
        <w:t xml:space="preserve"> </w:t>
      </w:r>
      <w:r>
        <w:t xml:space="preserve">presença de corpectomias (OR: 0.5; IC 95%: [0.1, 3])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1.3; IC 95%: [0.2, 6.4]),</w:t>
      </w:r>
      <w:r>
        <w:t xml:space="preserve"> </w:t>
      </w:r>
      <w:r>
        <w:t xml:space="preserve">pacientes submetidos a cirurgias longas (OR: 0.9; IC 95%: [0.2, 4.4]) ou</w:t>
      </w:r>
      <w:r>
        <w:t xml:space="preserve"> </w:t>
      </w:r>
      <w:r>
        <w:t xml:space="preserve">quantidade de níveis na cirurgia (OR: 1.5; IC 95%: [0.2, 16.7]).</w:t>
      </w:r>
    </w:p>
    <w:p>
      <w:pPr>
        <w:pStyle w:val="Heading2"/>
      </w:pPr>
      <w:bookmarkStart w:id="26" w:name="disfonia"/>
      <w:bookmarkEnd w:id="26"/>
      <w:r>
        <w:t xml:space="preserve">Disfonia</w:t>
      </w:r>
    </w:p>
    <w:p>
      <w:pPr>
        <w:pStyle w:val="FirstParagraph"/>
      </w:pPr>
      <w:r>
        <w:t xml:space="preserve">No grupo de pacientes que desenvolveram disfonia, a idade média (DP) observada foi 59.36 (7.54) anos enquanto nos pacientes que não apresentaram esta condição a idade média (DP) foi 55.28 (8.61) anos.</w:t>
      </w:r>
      <w:r>
        <w:t xml:space="preserve"> </w:t>
      </w:r>
      <w:r>
        <w:t xml:space="preserve">Não há diferença significativa entre as idades dos grupos (p = 0.164).</w:t>
      </w:r>
    </w:p>
    <w:p>
      <w:pPr>
        <w:pStyle w:val="BodyText"/>
      </w:pPr>
      <w:r>
        <w:t xml:space="preserve">O IMC também não evidencia diferença significativa entre os grupos (p = 0.262), tendo idade média (DP) de 26.68 (4.11) kg/m2 para os pacientes com disfonia e 28.53 (4.58) kg/m2 para os pacientes sem disfonia.</w:t>
      </w:r>
    </w:p>
    <w:p>
      <w:pPr>
        <w:pStyle w:val="BodyText"/>
      </w:pPr>
      <w:r>
        <w:t xml:space="preserve">O tempo de cirurgia foi significativamente diferente entre os grupos (p = 0.018), sendo que o grupo que apresentou disfonia teve procedimentos com uma média (DP) de 229.55 (48.76) minutos, enquanto o grupo onde não foi observada a disfonia teve média (DP) de 172.78 (71.77) minutos.</w:t>
      </w:r>
      <w:r>
        <w:t xml:space="preserve"> </w:t>
      </w:r>
      <w:r>
        <w:t xml:space="preserve">Isto indica que, em nossa amostra, o tempo médio de cirurgia foi maior no grupo que foi diagnosticado com disfonia, em relação aos que tiveram este diagnóstico rejeitado.</w:t>
      </w:r>
    </w:p>
    <w:p>
      <w:pPr>
        <w:pStyle w:val="BodyText"/>
      </w:pPr>
      <w:r>
        <w:t xml:space="preserve">Observamos uma associação estatisticamente significativa entre cirurgias grandes e a prevalência de disfonia (OR: 7; IC 95%: [1.3, 43.9]).</w:t>
      </w:r>
      <w:r>
        <w:t xml:space="preserve"> </w:t>
      </w:r>
      <w:r>
        <w:t xml:space="preserve">Esta taxa indica um aumento de seis vezes na prevalência deste desfecho no período estudado.</w:t>
      </w:r>
    </w:p>
    <w:p>
      <w:pPr>
        <w:pStyle w:val="BodyText"/>
      </w:pPr>
      <w:r>
        <w:t xml:space="preserve">Também parece haver um aumento significativo da prevalência de disfonia em pacientes submetidos a cirurgias longas (OR: 13.3; IC 95%: [1.6, 633.5]).</w:t>
      </w:r>
      <w:r>
        <w:t xml:space="preserve"> </w:t>
      </w:r>
      <w:r>
        <w:t xml:space="preserve">Esta evidência porém é fraca devido à pequena quantidade de pacientes disponíveis.</w:t>
      </w:r>
      <w:r>
        <w:t xml:space="preserve"> </w:t>
      </w:r>
      <w:r>
        <w:t xml:space="preserve">Apenas um paciente apresentou disfonia com cirurgia curta, portanto não há poder estatístico para avaliar decisivamente a associação entre o tempo de cirurgia e a ocorrência da disfagia.</w:t>
      </w:r>
    </w:p>
    <w:p>
      <w:pPr>
        <w:pStyle w:val="BodyText"/>
      </w:pPr>
      <w:r>
        <w:t xml:space="preserve">Não observamos neste estudo evidências de associação entre disfonia e</w:t>
      </w:r>
      <w:r>
        <w:t xml:space="preserve"> </w:t>
      </w:r>
      <w:r>
        <w:t xml:space="preserve">gênero (OR: 0.3; IC 95%: [0.1, 1.6]),</w:t>
      </w:r>
      <w:r>
        <w:t xml:space="preserve"> </w:t>
      </w:r>
      <w:r>
        <w:t xml:space="preserve">obesidade (OR: 0.6; IC 95%: [0, 3.6]),</w:t>
      </w:r>
      <w:r>
        <w:t xml:space="preserve"> </w:t>
      </w:r>
      <w:r>
        <w:t xml:space="preserve">presença de fraturas ou sequelas (OR: 0; IC 95%: [0, 8.2]),</w:t>
      </w:r>
      <w:r>
        <w:t xml:space="preserve"> </w:t>
      </w:r>
      <w:r>
        <w:t xml:space="preserve">presença de mielopatia (OR: 1.3; IC 95%: [0.3, 9.2]),</w:t>
      </w:r>
      <w:r>
        <w:t xml:space="preserve"> </w:t>
      </w:r>
      <w:r>
        <w:t xml:space="preserve">o uso de placas (OR: Inf; IC 95%: [0, Inf]),</w:t>
      </w:r>
      <w:r>
        <w:t xml:space="preserve"> </w:t>
      </w:r>
      <w:r>
        <w:t xml:space="preserve">presença de corpectomias (OR: 1.1; IC 95%: [0.2, 6.1])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2.5; IC 95%: [0.4, 27.2]).</w:t>
      </w:r>
    </w:p>
    <w:p>
      <w:pPr>
        <w:pStyle w:val="Heading1"/>
      </w:pPr>
      <w:bookmarkStart w:id="27" w:name="discussao"/>
      <w:bookmarkEnd w:id="27"/>
      <w:r>
        <w:t xml:space="preserve">Discussão</w:t>
      </w:r>
    </w:p>
    <w:p>
      <w:pPr>
        <w:pStyle w:val="FirstParagraph"/>
      </w:pPr>
      <w:r>
        <w:t xml:space="preserve">Parece haver uma relação entre o tempo de cirurgia e a prevalência de disfonia, onde cirurgias longas seriam um fator de risco para esta condição (ou seu diagnóstico).</w:t>
      </w:r>
      <w:r>
        <w:t xml:space="preserve"> </w:t>
      </w:r>
      <w:r>
        <w:t xml:space="preserve">Em nossa amostra, o grupo onde a disfonia foi identificada foi submetido a cirurgias mais longas.</w:t>
      </w:r>
    </w:p>
    <w:p>
      <w:pPr>
        <w:pStyle w:val="BodyText"/>
      </w:pPr>
      <w:r>
        <w:t xml:space="preserve">A complexidade da cirurgia também parece ser um fator, onde a ACA com 3 ou mais níveis está significativamente associada à prevalência de disfonia.</w:t>
      </w:r>
    </w:p>
    <w:p>
      <w:pPr>
        <w:pStyle w:val="BodyText"/>
      </w:pPr>
      <w:r>
        <w:t xml:space="preserve">Este trabalho indica que ACAs com maior grau de complexidade (onde são necessários 2 ou mais níveis) aumentam a ocorrência de disfonia.</w:t>
      </w:r>
      <w:r>
        <w:t xml:space="preserve"> </w:t>
      </w:r>
      <w:r>
        <w:t xml:space="preserve">Há evidências também que ACAs com duração maiores ou iguais a 2 horas estão associadas a este desfecho.</w:t>
      </w:r>
    </w:p>
    <w:p>
      <w:pPr>
        <w:pStyle w:val="BodyText"/>
      </w:pPr>
      <w:r>
        <w:t xml:space="preserve">Em nosso estudo, encontramos evidências que cirurgias com três ou mais níveis tem seis vezes mais chance de causar disfonia pós-operatória.</w:t>
      </w:r>
      <w:r>
        <w:t xml:space="preserve"> </w:t>
      </w:r>
      <w:r>
        <w:t xml:space="preserve">Para disfagia observamos que não houve associação entre nenhuma das variáveis estudadas.</w:t>
      </w:r>
      <w:r>
        <w:t xml:space="preserve"> </w:t>
      </w:r>
      <w:r>
        <w:t xml:space="preserve">Este desfecho se justifica devido ao baixo poder estatístico das análises por pequena representatividade de alguns grupos.</w:t>
      </w:r>
      <w:r>
        <w:t xml:space="preserve"> </w:t>
      </w:r>
      <w:r>
        <w:t xml:space="preserve">Evidencia-se assim a necessidade de novos estudos especialmente desenhados para confirmar ou refutar os resultados aqui obtidos.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02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projeto de artigo</dc:title>
  <dc:creator/>
  <dcterms:created xsi:type="dcterms:W3CDTF">2017-04-28T15:16:37Z</dcterms:created>
  <dcterms:modified xsi:type="dcterms:W3CDTF">2017-04-28T15:16:37Z</dcterms:modified>
</cp:coreProperties>
</file>