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37.png" ContentType="image/png"/>
  <Override PartName="/word/media/rId41.png" ContentType="image/png"/>
  <Override PartName="/word/media/rId43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</w:t>
      </w:r>
      <w:r>
        <w:t xml:space="preserve"> </w:t>
      </w:r>
      <w:r>
        <w:t xml:space="preserve">Hugo</w:t>
      </w:r>
      <w:r>
        <w:t xml:space="preserve"> </w:t>
      </w:r>
      <w:r>
        <w:t xml:space="preserve">Cobra</w:t>
      </w:r>
      <w:r>
        <w:t xml:space="preserve"> </w:t>
      </w:r>
      <w:r>
        <w:t xml:space="preserve">(INTO</w:t>
      </w:r>
      <w:r>
        <w:t xml:space="preserve"> </w:t>
      </w:r>
      <w:r>
        <w:t xml:space="preserve">2016)</w:t>
      </w:r>
    </w:p>
    <w:p>
      <w:pPr>
        <w:pStyle w:val="Author"/>
      </w:pPr>
      <w:r>
        <w:t xml:space="preserve">Felipe</w:t>
      </w:r>
      <w:r>
        <w:t xml:space="preserve"> </w:t>
      </w:r>
      <w:r>
        <w:t xml:space="preserve">Figueiredo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21,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etodologia-utilizada"/>
      <w:bookmarkEnd w:id="21"/>
      <w:r>
        <w:t xml:space="preserve">Metodologia utilizada</w:t>
      </w:r>
    </w:p>
    <w:p>
      <w:pPr>
        <w:pStyle w:val="FirstParagraph"/>
      </w:pPr>
      <w:r>
        <w:t xml:space="preserve">A análise descritiva foi apresentada na forma de tabelas os dados observados, expressos pela média, desvio padrão, mediana, amplitude interquartílica (AIQ), mínimo e máximo para dados numéricos (quantitativos) e pela frequência (n) e percentual (%) para dados categóricos (qualitativos).</w:t>
      </w:r>
      <w:r>
        <w:t xml:space="preserve"> </w:t>
      </w:r>
      <w:r>
        <w:t xml:space="preserve">Ao longo do texto, as variáveis normais foram sumarizadas como média +/- desvio padrão (DP), e as variáveis não normais como mediana +/- AIQ.</w:t>
      </w:r>
    </w:p>
    <w:p>
      <w:pPr>
        <w:pStyle w:val="BodyText"/>
      </w:pPr>
      <w:r>
        <w:t xml:space="preserve">Foi aplicado o teste de normalidade de Shapiro-Wilks nas variáveis numéricas.</w:t>
      </w:r>
      <w:r>
        <w:t xml:space="preserve"> </w:t>
      </w:r>
      <w:r>
        <w:t xml:space="preserve">A comparação das variáveis basais e finais foi feita com o teste t para variáveis normalmente distribuídas, e com o teste de Mann-Whitney para variáveis que tiveram a hipótese de normalidade rejeitada.</w:t>
      </w:r>
      <w:r>
        <w:t xml:space="preserve"> </w:t>
      </w:r>
      <w:r>
        <w:t xml:space="preserve">Para variáveis normais, foi aplicada a correlação de Pearson, e para variáveis não normais, a correlação não paramétrica de Spearman.</w:t>
      </w:r>
    </w:p>
    <w:p>
      <w:pPr>
        <w:pStyle w:val="BodyText"/>
      </w:pPr>
      <w:r>
        <w:t xml:space="preserve">A fim de investigar possíveis fatores de risco para o desfecho, foram ajustados modelos de regressão logística, tendo o desfecho como variável resposta.</w:t>
      </w:r>
      <w:r>
        <w:t xml:space="preserve"> </w:t>
      </w:r>
      <w:r>
        <w:t xml:space="preserve">A significância global de cada um destes modelos foi avaliada pelo teste de Wald.</w:t>
      </w:r>
    </w:p>
    <w:p>
      <w:pPr>
        <w:pStyle w:val="BodyText"/>
      </w:pPr>
      <w:r>
        <w:t xml:space="preserve">Em todas as análises, foi adotada a significância de 5%.</w:t>
      </w:r>
      <w:r>
        <w:t xml:space="preserve"> </w:t>
      </w:r>
      <w:r>
        <w:t xml:space="preserve">As análises estatísticas foram feitas utilizando o software estatístico R, versão 3.3.0 (</w:t>
      </w:r>
      <w:hyperlink r:id="rId22">
        <w:r>
          <w:rPr>
            <w:rStyle w:val="Hyperlink"/>
          </w:rPr>
          <w:t xml:space="preserve">https://www.R-project.org</w:t>
        </w:r>
      </w:hyperlink>
      <w:r>
        <w:t xml:space="preserve">).</w:t>
      </w:r>
    </w:p>
    <w:p>
      <w:pPr>
        <w:pStyle w:val="Heading1"/>
      </w:pPr>
      <w:bookmarkStart w:id="23" w:name="resultados"/>
      <w:bookmarkEnd w:id="23"/>
      <w:r>
        <w:t xml:space="preserve">Resultados</w:t>
      </w:r>
    </w:p>
    <w:p>
      <w:pPr>
        <w:pStyle w:val="Heading2"/>
      </w:pPr>
      <w:bookmarkStart w:id="24" w:name="tabelas-descritivas"/>
      <w:bookmarkEnd w:id="24"/>
      <w:r>
        <w:t xml:space="preserve">Tabelas descritivas</w:t>
      </w:r>
    </w:p>
    <w:p>
      <w:pPr>
        <w:pStyle w:val="Heading3"/>
      </w:pPr>
      <w:bookmarkStart w:id="25" w:name="dados-numericos"/>
      <w:bookmarkEnd w:id="25"/>
      <w:r>
        <w:t xml:space="preserve">Dados numéricos</w:t>
      </w:r>
    </w:p>
    <w:tbl>
      <w:tblPr>
        <w:tblStyle w:val="TableNormal"/>
        <w:tblW w:type="pct" w:w="3055.5555555555557"/>
        <w:tblLook w:firstRow="1"/>
      </w:tblPr>
      <w:tblGrid>
        <w:gridCol w:w="1760"/>
        <w:gridCol w:w="880"/>
        <w:gridCol w:w="550"/>
        <w:gridCol w:w="110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Média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AIQ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</w:t>
            </w:r>
          </w:p>
        </w:tc>
        <w:tc>
          <w:p>
            <w:pPr>
              <w:pStyle w:val="Compact"/>
              <w:jc w:val="center"/>
            </w:pPr>
            <w:r>
              <w:t xml:space="preserve">66.19</w:t>
            </w:r>
          </w:p>
        </w:tc>
        <w:tc>
          <w:p>
            <w:pPr>
              <w:pStyle w:val="Compact"/>
              <w:jc w:val="center"/>
            </w:pPr>
            <w:r>
              <w:t xml:space="preserve">9.25</w:t>
            </w:r>
          </w:p>
        </w:tc>
        <w:tc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</w:t>
            </w:r>
          </w:p>
        </w:tc>
        <w:tc>
          <w:p>
            <w:pPr>
              <w:pStyle w:val="Compact"/>
              <w:jc w:val="center"/>
            </w:pPr>
            <w:r>
              <w:t xml:space="preserve">30.05</w:t>
            </w:r>
          </w:p>
        </w:tc>
        <w:tc>
          <w:p>
            <w:pPr>
              <w:pStyle w:val="Compact"/>
              <w:jc w:val="center"/>
            </w:pPr>
            <w:r>
              <w:t xml:space="preserve">5.45</w:t>
            </w:r>
          </w:p>
        </w:tc>
        <w:tc>
          <w:p>
            <w:pPr>
              <w:pStyle w:val="Compact"/>
              <w:jc w:val="center"/>
            </w:pPr>
            <w:r>
              <w:t xml:space="preserve">29.68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Albumina</w:t>
            </w:r>
          </w:p>
        </w:tc>
        <w:tc>
          <w:p>
            <w:pPr>
              <w:pStyle w:val="Compact"/>
              <w:jc w:val="center"/>
            </w:pPr>
            <w:r>
              <w:t xml:space="preserve">3.63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Globulina</w:t>
            </w:r>
          </w:p>
        </w:tc>
        <w:tc>
          <w:p>
            <w:pPr>
              <w:pStyle w:val="Compact"/>
              <w:jc w:val="center"/>
            </w:pPr>
            <w:r>
              <w:t xml:space="preserve">2.67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2.73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Tempo</w:t>
            </w:r>
          </w:p>
        </w:tc>
        <w:tc>
          <w:p>
            <w:pPr>
              <w:pStyle w:val="Compact"/>
              <w:jc w:val="center"/>
            </w:pPr>
            <w:r>
              <w:t xml:space="preserve">88.69</w:t>
            </w:r>
          </w:p>
        </w:tc>
        <w:tc>
          <w:p>
            <w:pPr>
              <w:pStyle w:val="Compact"/>
              <w:jc w:val="center"/>
            </w:pPr>
            <w:r>
              <w:t xml:space="preserve">20.9</w:t>
            </w:r>
          </w:p>
        </w:tc>
        <w:tc>
          <w:p>
            <w:pPr>
              <w:pStyle w:val="Compact"/>
              <w:jc w:val="center"/>
            </w:pPr>
            <w:r>
              <w:t xml:space="preserve">87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</w:tr>
    </w:tbl>
    <w:p>
      <w:pPr>
        <w:pStyle w:val="BodyText"/>
      </w:pPr>
      <w:r>
        <w:t xml:space="preserve">A média (DP) das idades é 66.19 (9.25)</w:t>
      </w:r>
    </w:p>
    <w:p>
      <w:pPr>
        <w:pStyle w:val="Heading3"/>
      </w:pPr>
      <w:bookmarkStart w:id="26" w:name="dados-categoricos"/>
      <w:bookmarkEnd w:id="26"/>
      <w:r>
        <w:t xml:space="preserve">Dados categóricos</w:t>
      </w:r>
    </w:p>
    <w:tbl>
      <w:tblPr>
        <w:tblStyle w:val="TableNormal"/>
        <w:tblW w:type="pct" w:w="3541.6666666666665"/>
        <w:tblLook w:firstRow="1"/>
      </w:tblPr>
      <w:tblGrid>
        <w:gridCol w:w="660"/>
        <w:gridCol w:w="770"/>
        <w:gridCol w:w="1540"/>
        <w:gridCol w:w="660"/>
        <w:gridCol w:w="88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ATB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Diagnóstico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ASA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Desfecho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N:156</w:t>
            </w:r>
          </w:p>
        </w:tc>
        <w:tc>
          <w:p>
            <w:pPr>
              <w:pStyle w:val="Compact"/>
              <w:jc w:val="center"/>
            </w:pPr>
            <w:r>
              <w:t xml:space="preserve">F:231</w:t>
            </w:r>
          </w:p>
        </w:tc>
        <w:tc>
          <w:p>
            <w:pPr>
              <w:pStyle w:val="Compact"/>
              <w:jc w:val="center"/>
            </w:pPr>
            <w:r>
              <w:t xml:space="preserve">AR : 50</w:t>
            </w:r>
          </w:p>
        </w:tc>
        <w:tc>
          <w:p>
            <w:pPr>
              <w:pStyle w:val="Compact"/>
              <w:jc w:val="center"/>
            </w:pPr>
            <w:r>
              <w:t xml:space="preserve">N:224</w:t>
            </w:r>
          </w:p>
        </w:tc>
        <w:tc>
          <w:p>
            <w:pPr>
              <w:pStyle w:val="Compact"/>
              <w:jc w:val="center"/>
            </w:pPr>
            <w:r>
              <w:t xml:space="preserve">I : 16</w:t>
            </w:r>
          </w:p>
        </w:tc>
        <w:tc>
          <w:p>
            <w:pPr>
              <w:pStyle w:val="Compact"/>
              <w:jc w:val="center"/>
            </w:pPr>
            <w:r>
              <w:t xml:space="preserve">N:279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S:128</w:t>
            </w:r>
          </w:p>
        </w:tc>
        <w:tc>
          <w:p>
            <w:pPr>
              <w:pStyle w:val="Compact"/>
              <w:jc w:val="center"/>
            </w:pPr>
            <w:r>
              <w:t xml:space="preserve">M: 53</w:t>
            </w:r>
          </w:p>
        </w:tc>
        <w:tc>
          <w:p>
            <w:pPr>
              <w:pStyle w:val="Compact"/>
              <w:jc w:val="center"/>
            </w:pPr>
            <w:r>
              <w:t xml:space="preserve">OA :230</w:t>
            </w:r>
          </w:p>
        </w:tc>
        <w:tc>
          <w:p>
            <w:pPr>
              <w:pStyle w:val="Compact"/>
              <w:jc w:val="center"/>
            </w:pPr>
            <w:r>
              <w:t xml:space="preserve">S: 60</w:t>
            </w:r>
          </w:p>
        </w:tc>
        <w:tc>
          <w:p>
            <w:pPr>
              <w:pStyle w:val="Compact"/>
              <w:jc w:val="center"/>
            </w:pPr>
            <w:r>
              <w:t xml:space="preserve">II :260</w:t>
            </w:r>
          </w:p>
        </w:tc>
        <w:tc>
          <w:p>
            <w:pPr>
              <w:pStyle w:val="Compact"/>
              <w:jc w:val="center"/>
            </w:pPr>
            <w:r>
              <w:t xml:space="preserve">S: 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ON : 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III : 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Outros: 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NA's: 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2"/>
      </w:pPr>
      <w:bookmarkStart w:id="27" w:name="tabelas-de-contingencia"/>
      <w:bookmarkEnd w:id="27"/>
      <w:r>
        <w:t xml:space="preserve">Tabelas de Contingência</w:t>
      </w:r>
    </w:p>
    <w:p>
      <w:pPr>
        <w:pStyle w:val="FirstParagraph"/>
      </w:pPr>
      <w:r>
        <w:t xml:space="preserve">As tabelas de contingência a seguir, associam duas variáveis categóricas. Nas estão representadas as categorias do Desfecho (S = infeccção e N = não infeccão). OS p-valores correspondem ao teste de Fisher.</w:t>
      </w:r>
    </w:p>
    <w:p>
      <w:pPr>
        <w:pStyle w:val="Heading3"/>
      </w:pPr>
      <w:bookmarkStart w:id="28" w:name="sexo-por-tratamento"/>
      <w:bookmarkEnd w:id="28"/>
      <w:r>
        <w:t xml:space="preserve">Sexo por tratamento</w:t>
      </w:r>
    </w:p>
    <w:tbl>
      <w:tblPr>
        <w:tblStyle w:val="TableNormal"/>
        <w:tblW w:type="pct" w:w="1250.0"/>
        <w:tblLook w:firstRow="1"/>
      </w:tblPr>
      <w:tblGrid>
        <w:gridCol w:w="88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46.1</w:t>
            </w:r>
          </w:p>
        </w:tc>
        <w:tc>
          <w:p>
            <w:pPr>
              <w:pStyle w:val="Compact"/>
              <w:jc w:val="center"/>
            </w:pPr>
            <w:r>
              <w:t xml:space="preserve">35.2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8.8</w:t>
            </w:r>
          </w:p>
        </w:tc>
        <w:tc>
          <w:p>
            <w:pPr>
              <w:pStyle w:val="Compact"/>
              <w:jc w:val="center"/>
            </w:pPr>
            <w:r>
              <w:t xml:space="preserve">9.9</w:t>
            </w:r>
          </w:p>
        </w:tc>
      </w:tr>
    </w:tbl>
    <w:p>
      <w:pPr>
        <w:pStyle w:val="BodyText"/>
      </w:pPr>
      <w:r>
        <w:t xml:space="preserve">P-valor: 0.2235331</w:t>
      </w:r>
    </w:p>
    <w:p>
      <w:pPr>
        <w:pStyle w:val="Heading3"/>
      </w:pPr>
      <w:bookmarkStart w:id="29" w:name="diabete-por-tratamento"/>
      <w:bookmarkEnd w:id="29"/>
      <w:r>
        <w:t xml:space="preserve">Diabete por tratamento</w:t>
      </w:r>
    </w:p>
    <w:tbl>
      <w:tblPr>
        <w:tblStyle w:val="TableNormal"/>
        <w:tblW w:type="pct" w:w="1111.111111111111"/>
        <w:tblLook w:firstRow="1"/>
      </w:tblPr>
      <w:tblGrid>
        <w:gridCol w:w="88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35.9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9.2</w:t>
            </w:r>
          </w:p>
        </w:tc>
      </w:tr>
    </w:tbl>
    <w:p>
      <w:pPr>
        <w:pStyle w:val="BodyText"/>
      </w:pPr>
      <w:r>
        <w:t xml:space="preserve">P-valor: 0.7725722</w:t>
      </w:r>
    </w:p>
    <w:p>
      <w:pPr>
        <w:pStyle w:val="Heading3"/>
      </w:pPr>
      <w:bookmarkStart w:id="30" w:name="diagnostico-por-tratamento"/>
      <w:bookmarkEnd w:id="30"/>
      <w:r>
        <w:t xml:space="preserve">Diagnostico por tratamento</w:t>
      </w:r>
    </w:p>
    <w:tbl>
      <w:tblPr>
        <w:tblStyle w:val="TableNormal"/>
        <w:tblW w:type="pct" w:w="1597.2222222222222"/>
        <w:tblLook w:firstRow="1"/>
      </w:tblPr>
      <w:tblGrid>
        <w:gridCol w:w="143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</w:t>
            </w:r>
          </w:p>
        </w:tc>
        <w:tc>
          <w:p>
            <w:pPr>
              <w:pStyle w:val="Compact"/>
              <w:jc w:val="center"/>
            </w:pPr>
            <w:r>
              <w:t xml:space="preserve">8.8</w:t>
            </w:r>
          </w:p>
        </w:tc>
        <w:tc>
          <w:p>
            <w:pPr>
              <w:pStyle w:val="Compact"/>
              <w:jc w:val="center"/>
            </w:pPr>
            <w:r>
              <w:t xml:space="preserve">8.8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OA</w:t>
            </w:r>
          </w:p>
        </w:tc>
        <w:tc>
          <w:p>
            <w:pPr>
              <w:pStyle w:val="Compact"/>
              <w:jc w:val="center"/>
            </w:pPr>
            <w:r>
              <w:t xml:space="preserve">45.4</w:t>
            </w:r>
          </w:p>
        </w:tc>
        <w:tc>
          <w:p>
            <w:pPr>
              <w:pStyle w:val="Compact"/>
              <w:jc w:val="center"/>
            </w:pPr>
            <w:r>
              <w:t xml:space="preserve">35.6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ON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Outros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P-valor: 0.210475</w:t>
      </w:r>
    </w:p>
    <w:p>
      <w:pPr>
        <w:pStyle w:val="Heading3"/>
      </w:pPr>
      <w:bookmarkStart w:id="31" w:name="asa-por-tratamento"/>
      <w:bookmarkEnd w:id="31"/>
      <w:r>
        <w:t xml:space="preserve">ASA por Tratamento</w:t>
      </w:r>
    </w:p>
    <w:tbl>
      <w:tblPr>
        <w:tblStyle w:val="TableNormal"/>
        <w:tblW w:type="pct" w:w="1388.888888888889"/>
        <w:tblLook w:firstRow="1"/>
      </w:tblPr>
      <w:tblGrid>
        <w:gridCol w:w="110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II</w:t>
            </w:r>
          </w:p>
        </w:tc>
        <w:tc>
          <w:p>
            <w:pPr>
              <w:pStyle w:val="Compact"/>
              <w:jc w:val="center"/>
            </w:pPr>
            <w:r>
              <w:t xml:space="preserve">50.4</w:t>
            </w:r>
          </w:p>
        </w:tc>
        <w:tc>
          <w:p>
            <w:pPr>
              <w:pStyle w:val="Compact"/>
              <w:jc w:val="center"/>
            </w:pPr>
            <w:r>
              <w:t xml:space="preserve">41.8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III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</w:tr>
    </w:tbl>
    <w:p>
      <w:pPr>
        <w:pStyle w:val="BodyText"/>
      </w:pPr>
      <w:r>
        <w:t xml:space="preserve">P-valor: 0.3976111</w:t>
      </w:r>
    </w:p>
    <w:p>
      <w:pPr>
        <w:pStyle w:val="Heading3"/>
      </w:pPr>
      <w:bookmarkStart w:id="32" w:name="desfecho-por-tratamento"/>
      <w:bookmarkEnd w:id="32"/>
      <w:r>
        <w:t xml:space="preserve">Desfecho por Tratamento</w:t>
      </w:r>
    </w:p>
    <w:tbl>
      <w:tblPr>
        <w:tblStyle w:val="TableNormal"/>
        <w:tblW w:type="pct" w:w="1250.0"/>
        <w:tblLook w:firstRow="1"/>
      </w:tblPr>
      <w:tblGrid>
        <w:gridCol w:w="88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53.9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</w:t>
            </w:r>
          </w:p>
        </w:tc>
        <w:tc>
          <w:p>
            <w:pPr>
              <w:pStyle w:val="Compact"/>
              <w:jc w:val="center"/>
            </w:pPr>
            <w:r>
              <w:t xml:space="preserve">44.4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P-valor: 1</w:t>
      </w:r>
    </w:p>
    <w:p>
      <w:pPr>
        <w:pStyle w:val="Heading3"/>
      </w:pPr>
      <w:bookmarkStart w:id="33" w:name="desfecho-por-asa"/>
      <w:bookmarkEnd w:id="33"/>
      <w:r>
        <w:t xml:space="preserve">Desfecho por ASA</w:t>
      </w:r>
    </w:p>
    <w:tbl>
      <w:tblPr>
        <w:tblStyle w:val="TableNormal"/>
        <w:tblW w:type="pct" w:w="1388.888888888889"/>
        <w:tblLook w:firstRow="1"/>
      </w:tblPr>
      <w:tblGrid>
        <w:gridCol w:w="110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</w:t>
            </w:r>
          </w:p>
        </w:tc>
        <w:tc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II</w:t>
            </w:r>
          </w:p>
        </w:tc>
        <w:tc>
          <w:p>
            <w:pPr>
              <w:pStyle w:val="Compact"/>
              <w:jc w:val="center"/>
            </w:pPr>
            <w:r>
              <w:t xml:space="preserve">90.8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III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P-valor: 1</w:t>
      </w:r>
    </w:p>
    <w:p>
      <w:pPr>
        <w:pStyle w:val="Heading2"/>
      </w:pPr>
      <w:bookmarkStart w:id="34" w:name="graficos"/>
      <w:bookmarkEnd w:id="34"/>
      <w:r>
        <w:t xml:space="preserve">Gráficos</w:t>
      </w:r>
    </w:p>
    <w:p>
      <w:pPr>
        <w:pStyle w:val="Heading3"/>
      </w:pPr>
      <w:bookmarkStart w:id="35" w:name="dados-numericos-1"/>
      <w:bookmarkEnd w:id="35"/>
      <w:r>
        <w:t xml:space="preserve">Dados numéricos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ise_dados_HC_2016_files/figure-docx/gráficos%20ida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ise_dados_HC_2016_files/figure-docx/grafico%20temp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ise_dados_HC_2016_files/figure-docx/grafico%20pt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dados-categoricos-1"/>
      <w:bookmarkEnd w:id="39"/>
      <w:r>
        <w:t xml:space="preserve">Dados categóricos</w:t>
      </w:r>
    </w:p>
    <w:p>
      <w:pPr>
        <w:pStyle w:val="Heading4"/>
      </w:pPr>
      <w:bookmarkStart w:id="40" w:name="desfecho-por-tratamento-1"/>
      <w:bookmarkEnd w:id="40"/>
      <w:r>
        <w:t xml:space="preserve">Desfecho por tratamento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ise_dados_HC_2016_files/figure-docx/grafico%20tratament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2" w:name="outros-dados-por-tratamento"/>
      <w:bookmarkEnd w:id="42"/>
      <w:r>
        <w:t xml:space="preserve">Outros dados, por tratamento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ise_dados_HC_2016_files/figure-docx/graficos%20categoric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analise-de-regressao"/>
      <w:bookmarkEnd w:id="44"/>
      <w:r>
        <w:t xml:space="preserve">Análise de Regressão</w:t>
      </w:r>
    </w:p>
    <w:p>
      <w:pPr>
        <w:pStyle w:val="Heading3"/>
      </w:pPr>
      <w:bookmarkStart w:id="45" w:name="modelos-de-uma-variavel"/>
      <w:bookmarkEnd w:id="45"/>
      <w:r>
        <w:t xml:space="preserve">Modelos de uma variável</w:t>
      </w:r>
    </w:p>
    <w:p>
      <w:pPr>
        <w:pStyle w:val="FirstParagraph"/>
      </w:pPr>
      <w:r>
        <w:t xml:space="preserve">Foi feita uma análise de regressão logística, tomando como variável resposta o Desfecho (binário). Cada modelo de regressão logística simples considerou como variável preditora cada um dos seguintes dados:</w:t>
      </w:r>
    </w:p>
    <w:p>
      <w:pPr>
        <w:pStyle w:val="Compact"/>
        <w:numPr>
          <w:numId w:val="1001"/>
          <w:ilvl w:val="0"/>
        </w:numPr>
      </w:pPr>
      <w:r>
        <w:t xml:space="preserve">Tratamento</w:t>
      </w:r>
    </w:p>
    <w:p>
      <w:pPr>
        <w:pStyle w:val="Compact"/>
        <w:numPr>
          <w:numId w:val="1001"/>
          <w:ilvl w:val="0"/>
        </w:numPr>
      </w:pPr>
      <w:r>
        <w:t xml:space="preserve">Diabete</w:t>
      </w:r>
    </w:p>
    <w:p>
      <w:pPr>
        <w:pStyle w:val="Compact"/>
        <w:numPr>
          <w:numId w:val="1001"/>
          <w:ilvl w:val="0"/>
        </w:numPr>
      </w:pPr>
      <w:r>
        <w:t xml:space="preserve">Sexo</w:t>
      </w:r>
    </w:p>
    <w:p>
      <w:pPr>
        <w:pStyle w:val="Compact"/>
        <w:numPr>
          <w:numId w:val="1001"/>
          <w:ilvl w:val="0"/>
        </w:numPr>
      </w:pPr>
      <w:r>
        <w:t xml:space="preserve">Idade</w:t>
      </w:r>
    </w:p>
    <w:p>
      <w:pPr>
        <w:pStyle w:val="Compact"/>
        <w:numPr>
          <w:numId w:val="1001"/>
          <w:ilvl w:val="0"/>
        </w:numPr>
      </w:pPr>
      <w:r>
        <w:t xml:space="preserve">IMC</w:t>
      </w:r>
    </w:p>
    <w:p>
      <w:pPr>
        <w:pStyle w:val="Compact"/>
        <w:numPr>
          <w:numId w:val="1001"/>
          <w:ilvl w:val="0"/>
        </w:numPr>
      </w:pPr>
      <w:r>
        <w:t xml:space="preserve">Proteína total</w:t>
      </w:r>
    </w:p>
    <w:p>
      <w:pPr>
        <w:pStyle w:val="Compact"/>
        <w:numPr>
          <w:numId w:val="1001"/>
          <w:ilvl w:val="0"/>
        </w:numPr>
      </w:pPr>
      <w:r>
        <w:t xml:space="preserve">Diagnóstico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única</w:t>
      </w:r>
      <w:r>
        <w:t xml:space="preserve"> </w:t>
      </w:r>
      <w:r>
        <w:t xml:space="preserve">análise que retornou diferença significativa foi levando em conta o sexo.</w:t>
      </w:r>
    </w:p>
    <w:p>
      <w:pPr>
        <w:pStyle w:val="BodyText"/>
      </w:pPr>
      <w:r>
        <w:rPr>
          <w:b/>
          <w:strike/>
        </w:rPr>
        <w:t xml:space="preserve">Nenhum</w:t>
      </w:r>
      <w:r>
        <w:rPr>
          <w:strike/>
        </w:rPr>
        <w:t xml:space="preserve"> </w:t>
      </w:r>
      <w:r>
        <w:rPr>
          <w:strike/>
        </w:rPr>
        <w:t xml:space="preserve">dos modelos ajustados foi considerado significativo ao nível de 5% para estes dados.</w:t>
      </w:r>
      <w:r>
        <w:t xml:space="preserve"> </w:t>
      </w:r>
      <w:r>
        <w:t xml:space="preserve">Por conta disso, apenas o resultado bruto de cada teste está sendo apresentado, sem formatação.</w:t>
      </w:r>
      <w:r>
        <w:t xml:space="preserve"> </w:t>
      </w:r>
      <w:r>
        <w:t xml:space="preserve">A regressão logística foi avaliada pelo teste de Wald.</w:t>
      </w:r>
    </w:p>
    <w:p>
      <w:pPr>
        <w:pStyle w:val="BodyText"/>
      </w:pPr>
      <w:r>
        <w:t xml:space="preserve">O log da razão de chances de se selecionar um homem ao invés de uma mulher na amostra é: 1.9271641. Usando a exponencial para cancelar o lograritmo, podemos interpretar este resultado como: os homens tem uma chance 6.87 maior que as mulheres de ter o desfecho [infecção na cirurgia, etc].</w:t>
      </w:r>
    </w:p>
    <w:p>
      <w:pPr>
        <w:pStyle w:val="BodyText"/>
      </w:pPr>
      <w:r>
        <w:rPr>
          <w:b/>
        </w:rPr>
        <w:t xml:space="preserve">Sugestão de redação</w:t>
      </w:r>
      <w:r>
        <w:t xml:space="preserve">:</w:t>
      </w:r>
      <w:r>
        <w:t xml:space="preserve"> </w:t>
      </w:r>
      <w:r>
        <w:rPr>
          <w:i/>
        </w:rPr>
        <w:t xml:space="preserve">Dos fatores de risco analisados neste estudo, o único identificado como significativo foi o sexo. Nesta amostra, os homens têm uma chance 6.87 maior que as mulheres de desenvolver a condição...</w:t>
      </w:r>
    </w:p>
    <w:p>
      <w:pPr>
        <w:pStyle w:val="BodyText"/>
      </w:pPr>
      <w:r>
        <w:t xml:space="preserve">A seguir, as tabelas de resultados das regressões logísticas analisadas.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Desfecho ~ ATB, family = binomial(link = "logit"))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-0.1971  -0.1971  -0.1971  -0.1775   2.8840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-3.9318     0.5830  -6.744 1.54e-11 ***</w:t>
      </w:r>
      <w:r>
        <w:br w:type="textWrapping"/>
      </w:r>
      <w:r>
        <w:rPr>
          <w:rStyle w:val="VerbatimChar"/>
        </w:rPr>
        <w:t xml:space="preserve">## ATBS         -0.2113     0.9208  -0.229    0.818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50.307  on 283  degrees of freedom</w:t>
      </w:r>
      <w:r>
        <w:br w:type="textWrapping"/>
      </w:r>
      <w:r>
        <w:rPr>
          <w:rStyle w:val="VerbatimChar"/>
        </w:rPr>
        <w:t xml:space="preserve">## Residual deviance: 50.254  on 282  degrees of freedom</w:t>
      </w:r>
      <w:r>
        <w:br w:type="textWrapping"/>
      </w:r>
      <w:r>
        <w:rPr>
          <w:rStyle w:val="VerbatimChar"/>
        </w:rPr>
        <w:t xml:space="preserve">## AIC: 54.254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Desfecho ~ DM, family = binomial(link = "logit"))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-0.2125  -0.2125  -0.2125  -0.2125   2.7576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  -3.7796     0.4523  -8.357   &lt;2e-16 ***</w:t>
      </w:r>
      <w:r>
        <w:br w:type="textWrapping"/>
      </w:r>
      <w:r>
        <w:rPr>
          <w:rStyle w:val="VerbatimChar"/>
        </w:rPr>
        <w:t xml:space="preserve">## DMS          -16.7864  2288.9810  -0.007    0.994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50.307  on 283  degrees of freedom</w:t>
      </w:r>
      <w:r>
        <w:br w:type="textWrapping"/>
      </w:r>
      <w:r>
        <w:rPr>
          <w:rStyle w:val="VerbatimChar"/>
        </w:rPr>
        <w:t xml:space="preserve">## Residual deviance: 47.910  on 282  degrees of freedom</w:t>
      </w:r>
      <w:r>
        <w:br w:type="textWrapping"/>
      </w:r>
      <w:r>
        <w:rPr>
          <w:rStyle w:val="VerbatimChar"/>
        </w:rPr>
        <w:t xml:space="preserve">## AIC: 51.91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Desfecho ~ Sexo, family = binomial(link = "logit"))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-0.3414  -0.1319  -0.1319  -0.1319   3.0820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-4.7406     0.7102  -6.675 2.47e-11 ***</w:t>
      </w:r>
      <w:r>
        <w:br w:type="textWrapping"/>
      </w:r>
      <w:r>
        <w:rPr>
          <w:rStyle w:val="VerbatimChar"/>
        </w:rPr>
        <w:t xml:space="preserve">## SexoM         1.9272     0.9261   2.081   0.0374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50.307  on 283  degrees of freedom</w:t>
      </w:r>
      <w:r>
        <w:br w:type="textWrapping"/>
      </w:r>
      <w:r>
        <w:rPr>
          <w:rStyle w:val="VerbatimChar"/>
        </w:rPr>
        <w:t xml:space="preserve">## Residual deviance: 46.037  on 282  degrees of freedom</w:t>
      </w:r>
      <w:r>
        <w:br w:type="textWrapping"/>
      </w:r>
      <w:r>
        <w:rPr>
          <w:rStyle w:val="VerbatimChar"/>
        </w:rPr>
        <w:t xml:space="preserve">## AIC: 50.037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Desfecho ~ Idade, family = binomial(link = "logit"))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-0.3160  -0.1998  -0.1827  -0.1671   2.9757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</w:t>
      </w:r>
      <w:r>
        <w:br w:type="textWrapping"/>
      </w:r>
      <w:r>
        <w:rPr>
          <w:rStyle w:val="VerbatimChar"/>
        </w:rPr>
        <w:t xml:space="preserve">## (Intercept) -2.06966    2.78453  -0.743    0.457</w:t>
      </w:r>
      <w:r>
        <w:br w:type="textWrapping"/>
      </w:r>
      <w:r>
        <w:rPr>
          <w:rStyle w:val="VerbatimChar"/>
        </w:rPr>
        <w:t xml:space="preserve">## Idade       -0.03007    0.04329  -0.695    0.487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50.307  on 283  degrees of freedom</w:t>
      </w:r>
      <w:r>
        <w:br w:type="textWrapping"/>
      </w:r>
      <w:r>
        <w:rPr>
          <w:rStyle w:val="VerbatimChar"/>
        </w:rPr>
        <w:t xml:space="preserve">## Residual deviance: 49.861  on 282  degrees of freedom</w:t>
      </w:r>
      <w:r>
        <w:br w:type="textWrapping"/>
      </w:r>
      <w:r>
        <w:rPr>
          <w:rStyle w:val="VerbatimChar"/>
        </w:rPr>
        <w:t xml:space="preserve">## AIC: 53.861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Desfecho ~ IMC, family = binomial(link = "logit"))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-0.2587  -0.2010  -0.1863  -0.1724   2.9647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</w:t>
      </w:r>
      <w:r>
        <w:br w:type="textWrapping"/>
      </w:r>
      <w:r>
        <w:rPr>
          <w:rStyle w:val="VerbatimChar"/>
        </w:rPr>
        <w:t xml:space="preserve">## (Intercept) -5.31048    2.55216  -2.081   0.0375 *</w:t>
      </w:r>
      <w:r>
        <w:br w:type="textWrapping"/>
      </w:r>
      <w:r>
        <w:rPr>
          <w:rStyle w:val="VerbatimChar"/>
        </w:rPr>
        <w:t xml:space="preserve">## IMC          0.04298    0.08024   0.536   0.5922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50.018  on 275  degrees of freedom</w:t>
      </w:r>
      <w:r>
        <w:br w:type="textWrapping"/>
      </w:r>
      <w:r>
        <w:rPr>
          <w:rStyle w:val="VerbatimChar"/>
        </w:rPr>
        <w:t xml:space="preserve">## Residual deviance: 49.737  on 274  degrees of freedom</w:t>
      </w:r>
      <w:r>
        <w:br w:type="textWrapping"/>
      </w:r>
      <w:r>
        <w:rPr>
          <w:rStyle w:val="VerbatimChar"/>
        </w:rPr>
        <w:t xml:space="preserve">##   (8 observations deleted due to missingness)</w:t>
      </w:r>
      <w:r>
        <w:br w:type="textWrapping"/>
      </w:r>
      <w:r>
        <w:rPr>
          <w:rStyle w:val="VerbatimChar"/>
        </w:rPr>
        <w:t xml:space="preserve">## AIC: 53.737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Desfecho ~ ptn, family = binomial(link = "logit"))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-0.26855  -0.14210  -0.11422  -0.09179   3.14577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</w:t>
      </w:r>
      <w:r>
        <w:br w:type="textWrapping"/>
      </w:r>
      <w:r>
        <w:rPr>
          <w:rStyle w:val="VerbatimChar"/>
        </w:rPr>
        <w:t xml:space="preserve">## (Intercept)  -1.6253     3.7617  -0.432    0.666</w:t>
      </w:r>
      <w:r>
        <w:br w:type="textWrapping"/>
      </w:r>
      <w:r>
        <w:rPr>
          <w:rStyle w:val="VerbatimChar"/>
        </w:rPr>
        <w:t xml:space="preserve">## ptn          -0.5348     0.6530  -0.819    0.413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23.297  on 249  degrees of freedom</w:t>
      </w:r>
      <w:r>
        <w:br w:type="textWrapping"/>
      </w:r>
      <w:r>
        <w:rPr>
          <w:rStyle w:val="VerbatimChar"/>
        </w:rPr>
        <w:t xml:space="preserve">## Residual deviance: 22.609  on 248  degrees of freedom</w:t>
      </w:r>
      <w:r>
        <w:br w:type="textWrapping"/>
      </w:r>
      <w:r>
        <w:rPr>
          <w:rStyle w:val="VerbatimChar"/>
        </w:rPr>
        <w:t xml:space="preserve">##   (34 observations deleted due to missingness)</w:t>
      </w:r>
      <w:r>
        <w:br w:type="textWrapping"/>
      </w:r>
      <w:r>
        <w:rPr>
          <w:rStyle w:val="VerbatimChar"/>
        </w:rPr>
        <w:t xml:space="preserve">## AIC: 26.609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Desfecho ~ Diagnóstico, family = binomial(link = "logit"))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-0.2857  -0.1620  -0.1620  -0.1620   2.9460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-3.1781     0.7217  -4.404 1.06e-05 ***</w:t>
      </w:r>
      <w:r>
        <w:br w:type="textWrapping"/>
      </w:r>
      <w:r>
        <w:rPr>
          <w:rStyle w:val="VerbatimChar"/>
        </w:rPr>
        <w:t xml:space="preserve">## DiagnósticoOA       -1.1483     0.9266  -1.239    0.215    </w:t>
      </w:r>
      <w:r>
        <w:br w:type="textWrapping"/>
      </w:r>
      <w:r>
        <w:rPr>
          <w:rStyle w:val="VerbatimChar"/>
        </w:rPr>
        <w:t xml:space="preserve">## DiagnósticoON      -14.3880  2797.4420  -0.005    0.996    </w:t>
      </w:r>
      <w:r>
        <w:br w:type="textWrapping"/>
      </w:r>
      <w:r>
        <w:rPr>
          <w:rStyle w:val="VerbatimChar"/>
        </w:rPr>
        <w:t xml:space="preserve">## DiagnósticoOutros  -14.3880  2797.4420  -0.005    0.996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50.307  on 283  degrees of freedom</w:t>
      </w:r>
      <w:r>
        <w:br w:type="textWrapping"/>
      </w:r>
      <w:r>
        <w:rPr>
          <w:rStyle w:val="VerbatimChar"/>
        </w:rPr>
        <w:t xml:space="preserve">## Residual deviance: 48.792  on 280  degrees of freedom</w:t>
      </w:r>
      <w:r>
        <w:br w:type="textWrapping"/>
      </w:r>
      <w:r>
        <w:rPr>
          <w:rStyle w:val="VerbatimChar"/>
        </w:rPr>
        <w:t xml:space="preserve">## AIC: 56.792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16</w:t>
      </w:r>
    </w:p>
    <w:p>
      <w:pPr>
        <w:pStyle w:val="Heading3"/>
      </w:pPr>
      <w:bookmarkStart w:id="46" w:name="modelo-com-todas-as-variaveis"/>
      <w:bookmarkEnd w:id="46"/>
      <w:r>
        <w:t xml:space="preserve">Modelo com todas as variáveis</w:t>
      </w:r>
    </w:p>
    <w:p>
      <w:pPr>
        <w:pStyle w:val="FirstParagraph"/>
      </w:pPr>
      <w:r>
        <w:t xml:space="preserve">Por fim, foi criado também um modelo logístico para o desfecho tendo como preditores</w:t>
      </w:r>
      <w:r>
        <w:t xml:space="preserve"> </w:t>
      </w:r>
      <w:r>
        <w:rPr>
          <w:b/>
        </w:rPr>
        <w:t xml:space="preserve">todas</w:t>
      </w:r>
      <w:r>
        <w:t xml:space="preserve"> </w:t>
      </w:r>
      <w:r>
        <w:t xml:space="preserve">as outras variáveis do estudo (resultado não mostrado). Neste modelo "saturado", as combinações não resultaram em significância estatística das chances de uma categoria para outra.</w:t>
      </w:r>
    </w:p>
    <w:p>
      <w:pPr>
        <w:pStyle w:val="BodyText"/>
      </w:pPr>
      <w:r>
        <w:t xml:space="preserve">Sugestão: este resultado pode ser omitido da redação sem perda de generalidade, e foi incluído apenas para compleição da análise.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7fd6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c444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36" Target="media/rId36.png" /><Relationship Type="http://schemas.openxmlformats.org/officeDocument/2006/relationships/hyperlink" Id="rId22" Target="https://www.R-project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R-project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Hugo Cobra (INTO 2016)</dc:title>
  <dc:creator>Felipe Figueiredo</dc:creator>
  <dcterms:created xsi:type="dcterms:W3CDTF">2016-06-21</dcterms:created>
  <dcterms:modified xsi:type="dcterms:W3CDTF">2016-06-21</dcterms:modified>
</cp:coreProperties>
</file>