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Compact"/>
        <w:numPr>
          <w:numId w:val="1001"/>
          <w:ilvl w:val="0"/>
        </w:numPr>
      </w:pPr>
      <w:r>
        <w:t xml:space="preserve">Comparação de ajuste de regressão do Ct (vírus puro com biplex)</w:t>
      </w:r>
    </w:p>
    <w:p>
      <w:pPr>
        <w:pStyle w:val="Compact"/>
        <w:numPr>
          <w:numId w:val="1001"/>
          <w:ilvl w:val="0"/>
        </w:numPr>
      </w:pPr>
      <w:r>
        <w:t xml:space="preserve">Comparação de métodos (PCR x Titulação)</w:t>
      </w:r>
    </w:p>
    <w:p>
      <w:pPr>
        <w:pStyle w:val="Heading2"/>
      </w:pPr>
      <w:bookmarkStart w:id="22" w:name="ajuste-de-ct"/>
      <w:bookmarkEnd w:id="22"/>
      <w:r>
        <w:t xml:space="preserve">Ajuste de Ct</w:t>
      </w:r>
    </w:p>
    <w:p>
      <w:pPr>
        <w:pStyle w:val="FirstParagraph"/>
      </w:pPr>
      <w:r>
        <w:t xml:space="preserve">Objetivo: Descobrir qual "combinação" de vírus vacinal é "melhor"</w:t>
      </w:r>
    </w:p>
    <w:p>
      <w:pPr>
        <w:pStyle w:val="Compact"/>
        <w:numPr>
          <w:numId w:val="1002"/>
          <w:ilvl w:val="0"/>
        </w:numPr>
      </w:pPr>
      <w:r>
        <w:t xml:space="preserve">monoplex</w:t>
      </w:r>
    </w:p>
    <w:p>
      <w:pPr>
        <w:pStyle w:val="Compact"/>
        <w:numPr>
          <w:numId w:val="1002"/>
          <w:ilvl w:val="0"/>
        </w:numPr>
      </w:pPr>
      <w:r>
        <w:t xml:space="preserve">biplex diluído</w:t>
      </w:r>
    </w:p>
    <w:p>
      <w:pPr>
        <w:pStyle w:val="Compact"/>
        <w:numPr>
          <w:numId w:val="1002"/>
          <w:ilvl w:val="0"/>
        </w:numPr>
      </w:pPr>
      <w:r>
        <w:t xml:space="preserve">biplex concentrado</w:t>
      </w:r>
    </w:p>
    <w:p>
      <w:pPr>
        <w:pStyle w:val="Heading3"/>
      </w:pPr>
      <w:bookmarkStart w:id="23" w:name="virus"/>
      <w:bookmarkEnd w:id="23"/>
      <w:r>
        <w:t xml:space="preserve">Vírus</w:t>
      </w:r>
    </w:p>
    <w:p>
      <w:pPr>
        <w:pStyle w:val="FirstParagraph"/>
      </w:pPr>
      <w:r>
        <w:rPr>
          <w:b/>
        </w:rPr>
        <w:t xml:space="preserve">Monoplex</w:t>
      </w:r>
    </w:p>
    <w:p>
      <w:pPr>
        <w:pStyle w:val="Compact"/>
        <w:numPr>
          <w:numId w:val="1003"/>
          <w:ilvl w:val="0"/>
        </w:numPr>
      </w:pPr>
      <w:r>
        <w:t xml:space="preserve">Caxumba (Cx)</w:t>
      </w:r>
    </w:p>
    <w:p>
      <w:pPr>
        <w:pStyle w:val="Compact"/>
        <w:numPr>
          <w:numId w:val="1003"/>
          <w:ilvl w:val="0"/>
        </w:numPr>
      </w:pPr>
      <w:r>
        <w:t xml:space="preserve">Rubéola (Rp)</w:t>
      </w:r>
    </w:p>
    <w:p>
      <w:pPr>
        <w:pStyle w:val="Compact"/>
        <w:numPr>
          <w:numId w:val="1003"/>
          <w:ilvl w:val="0"/>
        </w:numPr>
      </w:pPr>
      <w:r>
        <w:t xml:space="preserve">Sarampo (Sp)</w:t>
      </w:r>
    </w:p>
    <w:p>
      <w:pPr>
        <w:pStyle w:val="FirstParagraph"/>
      </w:pPr>
      <w:r>
        <w:rPr>
          <w:b/>
        </w:rPr>
        <w:t xml:space="preserve">Biplex</w:t>
      </w:r>
    </w:p>
    <w:p>
      <w:pPr>
        <w:pStyle w:val="Compact"/>
        <w:numPr>
          <w:numId w:val="1004"/>
          <w:ilvl w:val="0"/>
        </w:numPr>
      </w:pPr>
      <w:r>
        <w:t xml:space="preserve">Caxumba + Sarampo (CS)</w:t>
      </w:r>
    </w:p>
    <w:p>
      <w:pPr>
        <w:pStyle w:val="Compact"/>
        <w:numPr>
          <w:numId w:val="1004"/>
          <w:ilvl w:val="0"/>
        </w:numPr>
      </w:pPr>
      <w:r>
        <w:t xml:space="preserve">Caxumba + Rubéola (CR)</w:t>
      </w:r>
    </w:p>
    <w:p>
      <w:pPr>
        <w:pStyle w:val="Heading3"/>
      </w:pPr>
      <w:bookmarkStart w:id="24" w:name="criterio-de-comparacao"/>
      <w:bookmarkEnd w:id="24"/>
      <w:r>
        <w:t xml:space="preserve">Critério de comparação</w:t>
      </w:r>
    </w:p>
    <w:p>
      <w:pPr>
        <w:pStyle w:val="FirstParagraph"/>
      </w:pPr>
      <w:r>
        <w:t xml:space="preserve">Minimizar o Ct</w:t>
      </w:r>
    </w:p>
    <w:p>
      <w:pPr>
        <w:pStyle w:val="Heading2"/>
      </w:pPr>
      <w:bookmarkStart w:id="25" w:name="comparacao-de-metodos"/>
      <w:bookmarkEnd w:id="25"/>
      <w:r>
        <w:t xml:space="preserve">Comparação de Métodos</w:t>
      </w:r>
    </w:p>
    <w:p>
      <w:pPr>
        <w:pStyle w:val="FirstParagraph"/>
      </w:pPr>
      <w:r>
        <w:t xml:space="preserve">Análise estatística da validação entre os métodos:</w:t>
      </w:r>
    </w:p>
    <w:p>
      <w:pPr>
        <w:pStyle w:val="Compact"/>
        <w:numPr>
          <w:numId w:val="1005"/>
          <w:ilvl w:val="0"/>
        </w:numPr>
      </w:pPr>
      <w:r>
        <w:t xml:space="preserve">PCR</w:t>
      </w:r>
    </w:p>
    <w:p>
      <w:pPr>
        <w:pStyle w:val="Compact"/>
        <w:numPr>
          <w:numId w:val="1005"/>
          <w:ilvl w:val="0"/>
        </w:numPr>
      </w:pPr>
      <w:r>
        <w:t xml:space="preserve">Titulação</w:t>
      </w:r>
    </w:p>
    <w:p>
      <w:pPr>
        <w:pStyle w:val="FirstParagraph"/>
      </w:pPr>
      <w:r>
        <w:t xml:space="preserve">Mesmas amostras, mesmas diluições, em quadruplicata (2 cinética A, 2 cinética B).</w:t>
      </w:r>
    </w:p>
    <w:p>
      <w:pPr>
        <w:pStyle w:val="Heading3"/>
      </w:pPr>
      <w:bookmarkStart w:id="26" w:name="graficos"/>
      <w:bookmarkEnd w:id="26"/>
      <w:r>
        <w:t xml:space="preserve">Gráficos</w:t>
      </w:r>
    </w:p>
    <w:p>
      <w:pPr>
        <w:pStyle w:val="Compact"/>
        <w:numPr>
          <w:numId w:val="1006"/>
          <w:ilvl w:val="0"/>
        </w:numPr>
      </w:pPr>
      <w:r>
        <w:t xml:space="preserve">Dotplots do Ct (ou alternativa)</w:t>
      </w:r>
    </w:p>
    <w:p>
      <w:pPr>
        <w:pStyle w:val="Compact"/>
        <w:numPr>
          <w:numId w:val="1007"/>
          <w:ilvl w:val="1"/>
        </w:numPr>
      </w:pPr>
      <w:r>
        <w:t xml:space="preserve">2x2 Caxumba, 2 Rubeola, 2 Sarampo</w:t>
      </w:r>
    </w:p>
    <w:p>
      <w:pPr>
        <w:pStyle w:val="Compact"/>
        <w:numPr>
          <w:numId w:val="1007"/>
          <w:ilvl w:val="1"/>
        </w:numPr>
      </w:pPr>
      <w:r>
        <w:rPr>
          <w:strike/>
        </w:rPr>
        <w:t xml:space="preserve">Puro x Concentrado/Diluido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6"/>
          <w:ilvl w:val="0"/>
        </w:numPr>
      </w:pPr>
      <w:r>
        <w:t xml:space="preserve">Regressão (Deming) das Quantidades (MC)</w:t>
      </w:r>
    </w:p>
    <w:p>
      <w:pPr>
        <w:pStyle w:val="Compact"/>
        <w:numPr>
          <w:numId w:val="1008"/>
          <w:ilvl w:val="1"/>
        </w:numPr>
      </w:pPr>
      <w:r>
        <w:t xml:space="preserve">cinética A, cinética B,</w:t>
      </w:r>
      <w:r>
        <w:t xml:space="preserve"> </w:t>
      </w:r>
      <w:r>
        <w:rPr>
          <w:strike/>
        </w:rPr>
        <w:t xml:space="preserve">pool das cinéticas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8"/>
          <w:ilvl w:val="1"/>
        </w:numPr>
      </w:pPr>
      <w:r>
        <w:t xml:space="preserve">Bland-Altman?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c8d7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7cfc5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7e54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2016-12-07T18:02:55Z</dcterms:created>
  <dcterms:modified xsi:type="dcterms:W3CDTF">2016-12-07T18:02:55Z</dcterms:modified>
</cp:coreProperties>
</file>