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Rodrigo</w:t>
      </w:r>
      <w:r>
        <w:t xml:space="preserve"> </w:t>
      </w:r>
      <w:r>
        <w:t xml:space="preserve">Cardoso</w:t>
      </w:r>
      <w:r>
        <w:t xml:space="preserve"> </w:t>
      </w:r>
      <w:r>
        <w:t xml:space="preserve">(INTO</w:t>
      </w:r>
      <w:r>
        <w:t xml:space="preserve"> </w:t>
      </w:r>
      <w:r>
        <w:t xml:space="preserve">2016)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a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Ttulo1"/>
      </w:pPr>
      <w:bookmarkStart w:id="21" w:name="introducao"/>
      <w:bookmarkEnd w:id="21"/>
      <w:r>
        <w:t xml:space="preserve">Introdução</w:t>
      </w:r>
    </w:p>
    <w:p>
      <w:pPr>
        <w:pStyle w:val="Ttulo1"/>
      </w:pPr>
      <w:bookmarkStart w:id="22" w:name="justificativa"/>
      <w:bookmarkEnd w:id="22"/>
      <w:r>
        <w:t xml:space="preserve">Justificativa</w:t>
      </w:r>
    </w:p>
    <w:p>
      <w:pPr>
        <w:pStyle w:val="Ttulo1"/>
      </w:pPr>
      <w:bookmarkStart w:id="23" w:name="objetivos"/>
      <w:bookmarkEnd w:id="23"/>
      <w:r>
        <w:t xml:space="preserve">Objetivos</w:t>
      </w:r>
    </w:p>
    <w:p>
      <w:pPr>
        <w:pStyle w:val="Ttulo1"/>
      </w:pPr>
      <w:bookmarkStart w:id="24" w:name="metodologia-utilizada"/>
      <w:bookmarkEnd w:id="24"/>
      <w:r>
        <w:t xml:space="preserve">Metodologia utilizada</w:t>
      </w:r>
    </w:p>
    <w:p>
      <w:pPr>
        <w:pStyle w:val="Ttulo2"/>
      </w:pPr>
      <w:bookmarkStart w:id="25" w:name="variaveis-coletadas-no-estudo"/>
      <w:bookmarkEnd w:id="25"/>
      <w:r>
        <w:t xml:space="preserve">Variáveis coletadas no estudo</w:t>
      </w:r>
    </w:p>
    <w:p>
      <w:pPr>
        <w:pStyle w:val="FirstParagraph"/>
      </w:pPr>
      <w:r>
        <w:t xml:space="preserve">Para a análise dos dados foram coletados dados das seguintes variáveis: gênero, tipo histológico, presença de metástase, ocorrência de óbito, tipo de cirurgia, estadiamento.</w:t>
      </w:r>
      <w:r>
        <w:t xml:space="preserve"> </w:t>
      </w:r>
      <w:r>
        <w:t xml:space="preserve">Além destas variáveis, foram coletadas a data do início dos sintomas e a data do diagnóstico, que foram utilizadas para estimar o tempo de diagnóstico conforme descrito na seção seguinte.</w:t>
      </w:r>
    </w:p>
    <w:p>
      <w:pPr>
        <w:pStyle w:val="Ttulo3"/>
      </w:pPr>
      <w:bookmarkStart w:id="26" w:name="tratamento-dos-dados"/>
      <w:bookmarkEnd w:id="26"/>
      <w:r>
        <w:t xml:space="preserve">Tratamento dos dados</w:t>
      </w:r>
    </w:p>
    <w:p>
      <w:pPr>
        <w:pStyle w:val="FirstParagraph"/>
      </w:pPr>
      <w:r>
        <w:t xml:space="preserve">Após o levantamento dos dados brutos, o tempo de diagnóstico para cada paciente foi determinado como o tempo decorrido entre o início dos sintomas e a data do diagnóstico.</w:t>
      </w:r>
    </w:p>
    <w:p>
      <w:pPr>
        <w:pStyle w:val="Ttulo2"/>
      </w:pPr>
      <w:bookmarkStart w:id="27" w:name="analise-estatistica"/>
      <w:bookmarkEnd w:id="27"/>
      <w:r>
        <w:t xml:space="preserve">Análise estatística</w:t>
      </w:r>
    </w:p>
    <w:p>
      <w:pPr>
        <w:pStyle w:val="FirstParagraph"/>
      </w:pPr>
      <w:r>
        <w:t xml:space="preserve">Todos os tratamentos e as análises dos dados foram realizados no software estatístico R, versão 3.3.2 (</w:t>
      </w:r>
      <w:hyperlink r:id="rId28">
        <w:r>
          <w:rPr>
            <w:rStyle w:val="Hyperlink"/>
          </w:rPr>
          <w:t xml:space="preserve">https://www.R-project.org</w:t>
        </w:r>
      </w:hyperlink>
      <w:r>
        <w:t xml:space="preserve">).</w:t>
      </w:r>
    </w:p>
    <w:p>
      <w:pPr>
        <w:pStyle w:val="Ttulo3"/>
      </w:pPr>
      <w:bookmarkStart w:id="29" w:name="analise-descritiva"/>
      <w:bookmarkEnd w:id="29"/>
      <w:r>
        <w:t xml:space="preserve">Análise descritiva</w:t>
      </w:r>
    </w:p>
    <w:p>
      <w:pPr>
        <w:pStyle w:val="FirstParagraph"/>
      </w:pPr>
      <w:r>
        <w:t xml:space="preserve">Como todas as variáveis do estudo são categóricas (gênero, tipo histológico, presença de metástase, ocorrência de óbito, tipo de cirurgia, estadiamento e tempo de diagnóstico), as mesmas foram descritas como frequência (n) e proporção (%) em tabelas e figuras.</w:t>
      </w:r>
    </w:p>
    <w:p>
      <w:pPr>
        <w:pStyle w:val="Ttulo3"/>
      </w:pPr>
      <w:bookmarkStart w:id="30" w:name="associacao-entre-dados-categoricos"/>
      <w:bookmarkEnd w:id="30"/>
      <w:r>
        <w:t xml:space="preserve">Associação entre dados categóricos</w:t>
      </w:r>
    </w:p>
    <w:p>
      <w:pPr>
        <w:pStyle w:val="FirstParagraph"/>
      </w:pPr>
      <w:r>
        <w:t xml:space="preserve">A fim de avaliar se havia associação dos dados categóricos, foram criadas tabelas de contingência que estratificam os dados pelos desfechos de interesse.</w:t>
      </w:r>
      <w:r>
        <w:t xml:space="preserve"> </w:t>
      </w:r>
      <w:r>
        <w:t xml:space="preserve">Nestas investigações as as seguintes variáveis foram consideradas desfechos de interesse o estadiamento, a presença de metástase, o tempo de cirurgia e o óbito.</w:t>
      </w:r>
    </w:p>
    <w:p>
      <w:pPr>
        <w:pStyle w:val="Corpodetexto"/>
      </w:pPr>
      <w:r>
        <w:t xml:space="preserve">Desta forma, o estadiamento foi testado como desfecho para os preditores tipo de cirurgia, gênero, tipo histológico e presença de metástase.</w:t>
      </w:r>
      <w:r>
        <w:t xml:space="preserve"> </w:t>
      </w:r>
      <w:r>
        <w:t xml:space="preserve">Quando o tempo de diagnóstico foi testado como desfecho os preditores avaliados foram estadiamento, tipo histológico, presença de metástase e óbito.</w:t>
      </w:r>
      <w:r>
        <w:t xml:space="preserve"> </w:t>
      </w:r>
      <w:r>
        <w:t xml:space="preserve">A presença de metástase foi avaliada como desfecho para os preditores tipo histológico, o gênero e o tipo de cirurgia.</w:t>
      </w:r>
      <w:r>
        <w:t xml:space="preserve"> </w:t>
      </w:r>
      <w:r>
        <w:t xml:space="preserve">Por fim quando o óbito foi considerado o desfecho os preditores testados foram o tipo histológico, o estadiamento, o tipo de cirurgia e a presença de metástase.</w:t>
      </w:r>
    </w:p>
    <w:p>
      <w:pPr>
        <w:pStyle w:val="Corpodetexto"/>
      </w:pPr>
      <w:r>
        <w:t xml:space="preserve">Como em algumas variáveis não havia observações suficientes para algumas categorias, a significância estatística da associação foi avaliada com o Teste Exato de Fisher.</w:t>
      </w:r>
    </w:p>
    <w:p>
      <w:pPr>
        <w:pStyle w:val="Corpodetexto"/>
      </w:pPr>
      <w:r>
        <w:t xml:space="preserve">Em todas as análises foi utilizado o nível de significância de 5%.</w:t>
      </w:r>
    </w:p>
    <w:p>
      <w:pPr>
        <w:pStyle w:val="Ttulo1"/>
      </w:pPr>
      <w:bookmarkStart w:id="31" w:name="resultados"/>
      <w:bookmarkEnd w:id="31"/>
      <w:r>
        <w:t xml:space="preserve">Resultados</w:t>
      </w:r>
    </w:p>
    <w:p>
      <w:pPr>
        <w:pStyle w:val="Ttulo2"/>
      </w:pPr>
      <w:bookmarkStart w:id="32" w:name="descritiva-pura"/>
      <w:bookmarkEnd w:id="32"/>
      <w:r>
        <w:t xml:space="preserve">Descritiva pura</w:t>
      </w:r>
    </w:p>
    <w:tbl>
      <w:tblPr>
        <w:tblStyle w:val="TableNormal"/>
        <w:tblW w:type="pct" w:w="3263.888888888889"/>
        <w:tblLook w:firstRow="1"/>
      </w:tblPr>
      <w:tblGrid>
        <w:gridCol w:w="2530"/>
        <w:gridCol w:w="16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29 (44.6)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36 (55.4)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26 (40.0)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19 (29.2)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12 (18.5)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52 (81.2)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(18.8)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56 (87.5)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 (12.5)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53 (81.5)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(18.5)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47 (72.3)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18 (27.7)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37 (56.9)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18 (27.7)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20 (30.8)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10 (15.4)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22 (33.8)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 3meses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 ano</w:t>
            </w:r>
          </w:p>
        </w:tc>
        <w:tc>
          <w:p>
            <w:pPr>
              <w:pStyle w:val="Compact"/>
              <w:jc w:val="center"/>
            </w:pPr>
            <w:r>
              <w:t xml:space="preserve">15 (23.1)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23 (35.4)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 3 anos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</w:tbl>
    <w:p>
      <w:pPr>
        <w:pStyle w:val="Ttulo2"/>
      </w:pPr>
      <w:bookmarkStart w:id="33" w:name="extratificacao-obito"/>
      <w:bookmarkEnd w:id="33"/>
      <w:r>
        <w:t xml:space="preserve">Extratificação: Óbito</w:t>
      </w:r>
    </w:p>
    <w:tbl>
      <w:tblPr>
        <w:tblStyle w:val="TableNormal"/>
        <w:tblW w:type="pct" w:w="4375.0"/>
        <w:tblLook w:firstRow="1"/>
      </w:tblPr>
      <w:tblGrid>
        <w:gridCol w:w="2530"/>
        <w:gridCol w:w="1650"/>
        <w:gridCol w:w="1100"/>
        <w:gridCol w:w="110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Genero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25 (47.2)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Pr>
              <w:pStyle w:val="Compact"/>
              <w:jc w:val="center"/>
            </w:pPr>
            <w:r>
              <w:t xml:space="preserve">0.524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28 (52.8)</w:t>
            </w:r>
          </w:p>
        </w:tc>
        <w:tc>
          <w:p>
            <w:pPr>
              <w:pStyle w:val="Compact"/>
              <w:jc w:val="center"/>
            </w:pPr>
            <w:r>
              <w:t xml:space="preserve">8 (66.7)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25 (47.2)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3 ( 5.7)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4 ( 7.5)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47 (90.4)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48 (90.6)</w:t>
            </w:r>
          </w:p>
        </w:tc>
        <w:tc>
          <w:p>
            <w:pPr>
              <w:pStyle w:val="Compact"/>
              <w:jc w:val="center"/>
            </w:pPr>
            <w:r>
              <w:t xml:space="preserve">8 (72.7)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3 (27.3)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37 (69.8)</w:t>
            </w:r>
          </w:p>
        </w:tc>
        <w:tc>
          <w:p>
            <w:pPr>
              <w:pStyle w:val="Compact"/>
              <w:jc w:val="center"/>
            </w:pPr>
            <w:r>
              <w:t xml:space="preserve">10 (83.3)</w:t>
            </w:r>
          </w:p>
        </w:tc>
        <w:tc>
          <w:p>
            <w:pPr>
              <w:pStyle w:val="Compact"/>
              <w:jc w:val="center"/>
            </w:pPr>
            <w:r>
              <w:t xml:space="preserve">0.485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32 (60.4)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(13.2)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12 (22.6)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19 (35.8)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10 (18.9)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7 (13.2)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 3meses</w:t>
            </w:r>
          </w:p>
        </w:tc>
        <w:tc>
          <w:p>
            <w:pPr>
              <w:pStyle w:val="Compact"/>
              <w:jc w:val="center"/>
            </w:pPr>
            <w:r>
              <w:t xml:space="preserve">6 (11.3)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Pr>
              <w:pStyle w:val="Compact"/>
              <w:jc w:val="center"/>
            </w:pPr>
            <w:r>
              <w:t xml:space="preserve">0.627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8 (15.1)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 ano</w:t>
            </w:r>
          </w:p>
        </w:tc>
        <w:tc>
          <w:p>
            <w:pPr>
              <w:pStyle w:val="Compact"/>
              <w:jc w:val="center"/>
            </w:pPr>
            <w:r>
              <w:t xml:space="preserve">11 (20.8)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20 (37.7)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 3 anos</w:t>
            </w:r>
          </w:p>
        </w:tc>
        <w:tc>
          <w:p>
            <w:pPr>
              <w:pStyle w:val="Compact"/>
              <w:jc w:val="center"/>
            </w:pPr>
            <w:r>
              <w:t xml:space="preserve">8 (15.1)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</w:tbl>
    <w:p>
      <w:pPr>
        <w:pStyle w:val="Ttulo2"/>
      </w:pPr>
      <w:bookmarkStart w:id="34" w:name="extratificacao-metastase"/>
      <w:bookmarkEnd w:id="34"/>
      <w:r>
        <w:t xml:space="preserve">Extratificação: Metástase</w:t>
      </w:r>
    </w:p>
    <w:tbl>
      <w:tblPr>
        <w:tblStyle w:val="TableNormal"/>
        <w:tblW w:type="pct" w:w="4305.555555555557"/>
        <w:tblLook w:firstRow="1"/>
      </w:tblPr>
      <w:tblGrid>
        <w:gridCol w:w="2420"/>
        <w:gridCol w:w="1650"/>
        <w:gridCol w:w="110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Genero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 (42.3)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30 (57.7)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26 (50.0)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18 (34.6)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Pr>
              <w:pStyle w:val="Compact"/>
              <w:jc w:val="center"/>
            </w:pPr>
            <w:r>
              <w:t xml:space="preserve">8 (66.7)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3 ( 5.8)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47 (90.4)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48 (92.3)</w:t>
            </w:r>
          </w:p>
        </w:tc>
        <w:tc>
          <w:p>
            <w:pPr>
              <w:pStyle w:val="Compact"/>
              <w:jc w:val="center"/>
            </w:pPr>
            <w:r>
              <w:t xml:space="preserve">7 (63.6)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Pr>
              <w:pStyle w:val="Compact"/>
              <w:jc w:val="center"/>
            </w:pPr>
            <w:r>
              <w:t xml:space="preserve">4 (36.4)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37 (71.2)</w:t>
            </w:r>
          </w:p>
        </w:tc>
        <w:tc>
          <w:p>
            <w:pPr>
              <w:pStyle w:val="Compact"/>
              <w:jc w:val="center"/>
            </w:pPr>
            <w:r>
              <w:t xml:space="preserve">9 (75.0)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15 (28.8)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32 (61.5)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(13.5)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9 (17.3)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8 (15.4)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15 (28.8)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 3meses</w:t>
            </w:r>
          </w:p>
        </w:tc>
        <w:tc>
          <w:p>
            <w:pPr>
              <w:pStyle w:val="Compact"/>
              <w:jc w:val="center"/>
            </w:pPr>
            <w:r>
              <w:t xml:space="preserve">7 (13.5)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Pr>
              <w:pStyle w:val="Compact"/>
              <w:jc w:val="center"/>
            </w:pPr>
            <w:r>
              <w:t xml:space="preserve">0.600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7 (13.5)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 ano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18 (34.6)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 3 anos</w:t>
            </w:r>
          </w:p>
        </w:tc>
        <w:tc>
          <w:p>
            <w:pPr>
              <w:pStyle w:val="Compact"/>
              <w:jc w:val="center"/>
            </w:pPr>
            <w:r>
              <w:t xml:space="preserve">9 (17.3)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p>
      <w:pPr>
        <w:pStyle w:val="Ttulo2"/>
      </w:pPr>
      <w:bookmarkStart w:id="35" w:name="extratificacao-estadiamento"/>
      <w:bookmarkEnd w:id="35"/>
      <w:r>
        <w:t xml:space="preserve">Extratificação: Estadiamento</w:t>
      </w:r>
    </w:p>
    <w:tbl>
      <w:tblPr>
        <w:tblStyle w:val="TableNormal"/>
        <w:tblW w:type="pct" w:w="5000.0"/>
        <w:tblLook w:firstRow="1"/>
      </w:tblPr>
      <w:tblGrid>
        <w:gridCol w:w="1897"/>
        <w:gridCol w:w="1237"/>
        <w:gridCol w:w="907"/>
        <w:gridCol w:w="907"/>
        <w:gridCol w:w="825"/>
        <w:gridCol w:w="825"/>
        <w:gridCol w:w="82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Genero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10 ( 50.0)</w:t>
            </w:r>
          </w:p>
        </w:tc>
        <w:tc>
          <w:p>
            <w:pPr>
              <w:pStyle w:val="Compact"/>
              <w:jc w:val="center"/>
            </w:pPr>
            <w:r>
              <w:t xml:space="preserve">2 ( 20.0)</w:t>
            </w:r>
          </w:p>
        </w:tc>
        <w:tc>
          <w:p>
            <w:pPr>
              <w:pStyle w:val="Compact"/>
              <w:jc w:val="center"/>
            </w:pPr>
            <w:r>
              <w:t xml:space="preserve">4 ( 44.4)</w:t>
            </w:r>
          </w:p>
        </w:tc>
        <w:tc>
          <w:p>
            <w:pPr>
              <w:pStyle w:val="Compact"/>
              <w:jc w:val="center"/>
            </w:pPr>
            <w:r>
              <w:t xml:space="preserve">9 (40.9)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Pr>
              <w:pStyle w:val="Compact"/>
              <w:jc w:val="center"/>
            </w:pPr>
            <w:r>
              <w:t xml:space="preserve">0.107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10 ( 50.0)</w:t>
            </w:r>
          </w:p>
        </w:tc>
        <w:tc>
          <w:p>
            <w:pPr>
              <w:pStyle w:val="Compact"/>
              <w:jc w:val="center"/>
            </w:pPr>
            <w:r>
              <w:t xml:space="preserve">8 ( 80.0)</w:t>
            </w:r>
          </w:p>
        </w:tc>
        <w:tc>
          <w:p>
            <w:pPr>
              <w:pStyle w:val="Compact"/>
              <w:jc w:val="center"/>
            </w:pPr>
            <w:r>
              <w:t xml:space="preserve">5 ( 55.6)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17 ( 85.0)</w:t>
            </w:r>
          </w:p>
        </w:tc>
        <w:tc>
          <w:p>
            <w:pPr>
              <w:pStyle w:val="Compact"/>
              <w:jc w:val="center"/>
            </w:pPr>
            <w:r>
              <w:t xml:space="preserve">9 ( 90.0)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6 ( 66.7)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( 11.1)</w:t>
            </w:r>
          </w:p>
        </w:tc>
        <w:tc>
          <w:p>
            <w:pPr>
              <w:pStyle w:val="Compact"/>
              <w:jc w:val="center"/>
            </w:pPr>
            <w:r>
              <w:t xml:space="preserve">2 ( 9.1)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7 (31.8)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3 ( 15.0)</w:t>
            </w:r>
          </w:p>
        </w:tc>
        <w:tc>
          <w:p>
            <w:pPr>
              <w:pStyle w:val="Compact"/>
              <w:jc w:val="center"/>
            </w:pPr>
            <w:r>
              <w:t xml:space="preserve">1 ( 10.0)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19 ( 95.0)</w:t>
            </w:r>
          </w:p>
        </w:tc>
        <w:tc>
          <w:p>
            <w:pPr>
              <w:pStyle w:val="Compact"/>
              <w:jc w:val="center"/>
            </w:pPr>
            <w:r>
              <w:t xml:space="preserve">10 (100.0)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16 (72.7)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6 (27.3)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20 (100.0)</w:t>
            </w:r>
          </w:p>
        </w:tc>
        <w:tc>
          <w:p>
            <w:pPr>
              <w:pStyle w:val="Compact"/>
              <w:jc w:val="center"/>
            </w:pPr>
            <w:r>
              <w:t xml:space="preserve">9 ( 90.0)</w:t>
            </w:r>
          </w:p>
        </w:tc>
        <w:tc>
          <w:p>
            <w:pPr>
              <w:pStyle w:val="Compact"/>
              <w:jc w:val="center"/>
            </w:pPr>
            <w:r>
              <w:t xml:space="preserve">8 ( 88.9)</w:t>
            </w:r>
          </w:p>
        </w:tc>
        <w:tc>
          <w:p>
            <w:pPr>
              <w:pStyle w:val="Compact"/>
              <w:jc w:val="center"/>
            </w:pPr>
            <w:r>
              <w:t xml:space="preserve">15 (71.4)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( 10.0)</w:t>
            </w:r>
          </w:p>
        </w:tc>
        <w:tc>
          <w:p>
            <w:pPr>
              <w:pStyle w:val="Compact"/>
              <w:jc w:val="center"/>
            </w:pPr>
            <w:r>
              <w:t xml:space="preserve">1 ( 11.1)</w:t>
            </w:r>
          </w:p>
        </w:tc>
        <w:tc>
          <w:p>
            <w:pPr>
              <w:pStyle w:val="Compact"/>
              <w:jc w:val="center"/>
            </w:pPr>
            <w:r>
              <w:t xml:space="preserve">6 (28.6)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19 ( 95.0)</w:t>
            </w:r>
          </w:p>
        </w:tc>
        <w:tc>
          <w:p>
            <w:pPr>
              <w:pStyle w:val="Compact"/>
              <w:jc w:val="center"/>
            </w:pPr>
            <w:r>
              <w:t xml:space="preserve">10 (100.0)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16 (76.2)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5 (23.8)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15 ( 75.0)</w:t>
            </w:r>
          </w:p>
        </w:tc>
        <w:tc>
          <w:p>
            <w:pPr>
              <w:pStyle w:val="Compact"/>
              <w:jc w:val="center"/>
            </w:pPr>
            <w:r>
              <w:t xml:space="preserve">4 ( 40.0)</w:t>
            </w:r>
          </w:p>
        </w:tc>
        <w:tc>
          <w:p>
            <w:pPr>
              <w:pStyle w:val="Compact"/>
              <w:jc w:val="center"/>
            </w:pPr>
            <w:r>
              <w:t xml:space="preserve">9 (100.0)</w:t>
            </w:r>
          </w:p>
        </w:tc>
        <w:tc>
          <w:p>
            <w:pPr>
              <w:pStyle w:val="Compact"/>
              <w:jc w:val="center"/>
            </w:pPr>
            <w:r>
              <w:t xml:space="preserve">16 (72.7)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Pr>
              <w:pStyle w:val="Compact"/>
              <w:jc w:val="center"/>
            </w:pPr>
            <w:r>
              <w:t xml:space="preserve">0.061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5 ( 25.0)</w:t>
            </w:r>
          </w:p>
        </w:tc>
        <w:tc>
          <w:p>
            <w:pPr>
              <w:pStyle w:val="Compact"/>
              <w:jc w:val="center"/>
            </w:pPr>
            <w:r>
              <w:t xml:space="preserve">6 ( 60.0)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6 (27.3)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11 ( 55.0)</w:t>
            </w:r>
          </w:p>
        </w:tc>
        <w:tc>
          <w:p>
            <w:pPr>
              <w:pStyle w:val="Compact"/>
              <w:jc w:val="center"/>
            </w:pPr>
            <w:r>
              <w:t xml:space="preserve">6 ( 60.0)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( 35.0)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4 ( 40.0)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8 (36.4)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( 4.5)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</w:tbl>
    <w:sectPr w:rsidR="00140B5D" w:rsidRPr="00140B5D" w:rsidSect="00E1602D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F998F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2570BD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9716A5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5B8A0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A6163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244F7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C46EA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B8CC01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EEAA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4FC5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EF960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E7749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7c73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8"/>
  </w:num>
  <w:num w:numId="22">
    <w:abstractNumId w:val="18"/>
  </w:num>
  <w:num w:numId="23">
    <w:abstractNumId w:val="17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FD"/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140B5D"/>
    <w:pPr>
      <w:keepNext/>
      <w:keepLines/>
      <w:numPr>
        <w:numId w:val="23"/>
      </w:numPr>
      <w:spacing w:before="480" w:after="24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Ttulo1"/>
    <w:next w:val="Corpodetexto"/>
    <w:uiPriority w:val="9"/>
    <w:unhideWhenUsed/>
    <w:qFormat/>
    <w:rsid w:val="00140B5D"/>
    <w:pPr>
      <w:numPr>
        <w:ilvl w:val="1"/>
      </w:numPr>
      <w:spacing w:before="240"/>
      <w:ind w:left="578" w:hanging="578"/>
      <w:outlineLvl w:val="1"/>
    </w:pPr>
  </w:style>
  <w:style w:type="paragraph" w:styleId="Ttulo3">
    <w:name w:val="heading 3"/>
    <w:basedOn w:val="Ttulo1"/>
    <w:next w:val="Corpodetexto"/>
    <w:uiPriority w:val="9"/>
    <w:unhideWhenUsed/>
    <w:qFormat/>
    <w:rsid w:val="00140B5D"/>
    <w:pPr>
      <w:numPr>
        <w:ilvl w:val="2"/>
      </w:numPr>
      <w:spacing w:before="240"/>
      <w:outlineLvl w:val="2"/>
    </w:pPr>
    <w:rPr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rsid w:val="00140B5D"/>
    <w:pPr>
      <w:keepNext/>
      <w:keepLines/>
      <w:numPr>
        <w:ilvl w:val="3"/>
        <w:numId w:val="23"/>
      </w:numPr>
      <w:spacing w:before="240" w:after="24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har"/>
    <w:rsid w:val="00140B5D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rsid w:val="00140B5D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rsid w:val="00140B5D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C62B5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F40632"/>
    <w:pPr>
      <w:spacing w:before="36" w:after="36"/>
      <w:jc w:val="center"/>
    </w:p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1766FD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1766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66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66FD"/>
    <w:pPr>
      <w:spacing w:after="100"/>
      <w:ind w:left="480"/>
    </w:pPr>
  </w:style>
  <w:style w:type="character" w:customStyle="1" w:styleId="CorpodetextoChar">
    <w:name w:val="Corpo de texto Char"/>
    <w:basedOn w:val="Fontepargpadro"/>
    <w:link w:val="Corpodetexto"/>
    <w:rsid w:val="00AC62B5"/>
    <w:rPr>
      <w:rFonts w:ascii="Arial" w:hAnsi="Arial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140B5D"/>
    <w:pPr>
      <w:spacing w:after="0"/>
      <w:jc w:val="center"/>
    </w:pPr>
    <w:rPr>
      <w:rFonts w:ascii="Consolas" w:hAnsi="Consolas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vAlign w:val="center"/>
    </w:tcPr>
  </w:style>
  <w:style w:type="character" w:customStyle="1" w:styleId="Ttulo7Char">
    <w:name w:val="Título 7 Char"/>
    <w:basedOn w:val="Fontepargpadro"/>
    <w:link w:val="Ttulo7"/>
    <w:rsid w:val="00140B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rsid w:val="00140B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140B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Rodrigo Cardoso (INTO 2016)</dc:title>
  <dc:creator>Felipe Figueiredo</dc:creator>
  <dcterms:created xsi:type="dcterms:W3CDTF">2017-02-09T07:20:07Z</dcterms:created>
  <dcterms:modified xsi:type="dcterms:W3CDTF">2017-02-09T07:20:07Z</dcterms:modified>
</cp:coreProperties>
</file>