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abelas-de-contingência"/>
      <w:bookmarkEnd w:id="21"/>
      <w:r>
        <w:t xml:space="preserve">Tabelas de contingência</w:t>
      </w:r>
    </w:p>
    <w:p>
      <w:pPr>
        <w:pStyle w:val="FirstParagraph"/>
      </w:pPr>
      <w:r>
        <w:t xml:space="preserve">Tabelas que associam cada dado categórico por grupo de tratamento.</w:t>
      </w:r>
      <w:r>
        <w:t xml:space="preserve"> </w:t>
      </w:r>
      <w:r>
        <w:t xml:space="preserve">Todas as tabelas abaixo incluem uma linha e uma coluna com os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totais.</w:t>
      </w:r>
    </w:p>
    <w:p>
      <w:pPr>
        <w:pStyle w:val="Heading2"/>
      </w:pPr>
      <w:bookmarkStart w:id="22" w:name="tempo-de-bloqueio-por-grupo"/>
      <w:bookmarkEnd w:id="22"/>
      <w:r>
        <w:t xml:space="preserve">Tempo de bloqueio por grupo</w:t>
      </w:r>
    </w:p>
    <w:tbl>
      <w:tblPr>
        <w:tblStyle w:val="TableNormal"/>
        <w:tblW w:type="pct" w:w="1388.888888888889"/>
        <w:tblLook w:firstRow="1"/>
      </w:tblPr>
      <w:tblGrid>
        <w:gridCol w:w="132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Médio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2"/>
      </w:pPr>
      <w:bookmarkStart w:id="23" w:name="tempo-de-cirurgia-por-grupo"/>
      <w:bookmarkEnd w:id="23"/>
      <w:r>
        <w:t xml:space="preserve">Tempo de cirurgia por grupo</w:t>
      </w:r>
    </w:p>
    <w:tbl>
      <w:tblPr>
        <w:tblStyle w:val="TableNormal"/>
        <w:tblW w:type="pct" w:w="1388.888888888889"/>
        <w:tblLook w:firstRow="1"/>
      </w:tblPr>
      <w:tblGrid>
        <w:gridCol w:w="132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Curto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Longo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pStyle w:val="Heading2"/>
      </w:pPr>
      <w:bookmarkStart w:id="24" w:name="bloqueio-motor-imediato-por-grupo"/>
      <w:bookmarkEnd w:id="24"/>
      <w:r>
        <w:t xml:space="preserve">Bloqueio motor (imediato)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5" w:name="uso-de-opióide-imediato-por-grupo"/>
      <w:bookmarkEnd w:id="25"/>
      <w:r>
        <w:t xml:space="preserve">Uso de opióide (imediato)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2"/>
      </w:pPr>
      <w:bookmarkStart w:id="26" w:name="bloqueio-motor-tardio-por-grupo"/>
      <w:bookmarkEnd w:id="26"/>
      <w:r>
        <w:t xml:space="preserve">Bloqueio motor (tardio)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7" w:name="uso-de-opióide-tardio-por-grupo"/>
      <w:bookmarkEnd w:id="27"/>
      <w:r>
        <w:t xml:space="preserve">Uso de opióide (tardio)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8" w:name="asa-por-grupo"/>
      <w:bookmarkEnd w:id="28"/>
      <w:r>
        <w:t xml:space="preserve">ASA por grupo</w:t>
      </w:r>
    </w:p>
    <w:tbl>
      <w:tblPr>
        <w:tblStyle w:val="TableNormal"/>
        <w:tblW w:type="pct" w:w="1250.0"/>
        <w:tblLook w:firstRow="1"/>
      </w:tblPr>
      <w:tblGrid>
        <w:gridCol w:w="110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III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9" w:name="tempo-de-cirurgia-curto-2h"/>
      <w:bookmarkEnd w:id="29"/>
      <w:r>
        <w:t xml:space="preserve">Tempo de cirurgia Curto (&lt;2h)</w:t>
      </w:r>
    </w:p>
    <w:p>
      <w:pPr>
        <w:pStyle w:val="Heading3"/>
      </w:pPr>
      <w:bookmarkStart w:id="30" w:name="percepção-de-dor-imediato-por-grupo"/>
      <w:bookmarkEnd w:id="30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pStyle w:val="Heading3"/>
      </w:pPr>
      <w:bookmarkStart w:id="31" w:name="percepção-de-dor-tardio-por-grupo"/>
      <w:bookmarkEnd w:id="31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2"/>
      </w:pPr>
      <w:bookmarkStart w:id="32" w:name="tempo-de-cirurgia-longo-2h"/>
      <w:bookmarkEnd w:id="32"/>
      <w:r>
        <w:t xml:space="preserve">Tempo de cirurgia Longo (&gt;2h)</w:t>
      </w:r>
    </w:p>
    <w:p>
      <w:pPr>
        <w:pStyle w:val="Heading3"/>
      </w:pPr>
      <w:bookmarkStart w:id="33" w:name="percepção-de-dor-imediato-por-grupo-1"/>
      <w:bookmarkEnd w:id="33"/>
      <w:r>
        <w:t xml:space="preserve">Percepção de dor (imediato)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pStyle w:val="Heading3"/>
      </w:pPr>
      <w:bookmarkStart w:id="34" w:name="percepção-de-dor-tardio-por-grupo-1"/>
      <w:bookmarkEnd w:id="34"/>
      <w:r>
        <w:t xml:space="preserve">Percepção de dor (tardio) por grupo</w:t>
      </w:r>
    </w:p>
    <w:tbl>
      <w:tblPr>
        <w:tblStyle w:val="TableNormal"/>
        <w:tblW w:type="pct" w:w="1944.4444444444446"/>
        <w:tblLook w:firstRow="1"/>
      </w:tblPr>
      <w:tblGrid>
        <w:gridCol w:w="88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Ausente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Presente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4dfd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