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VerbatimChar"/>
        </w:rPr>
        <w:t xml:space="preserve">## [1] "pt_BR.UTF-8"</w:t>
      </w:r>
    </w:p>
    <w:p>
      <w:pPr>
        <w:pStyle w:val="FirstParagraph"/>
      </w:pPr>
      <w:r>
        <w:rPr>
          <w:b/>
        </w:rPr>
        <w:t xml:space="preserve">MÉTODOS</w:t>
      </w:r>
    </w:p>
    <w:p>
      <w:pPr>
        <w:pStyle w:val="BodyText"/>
      </w:pPr>
      <w:r>
        <w:t xml:space="preserve">A idade dos pacientes (em anos) foi determinada em relação à data de exame. O IMC foi calculado para os pacientes em que tanto a altura e o peso estavam disponíveis.</w:t>
      </w:r>
    </w:p>
    <w:p>
      <w:pPr>
        <w:pStyle w:val="BodyText"/>
      </w:pPr>
      <w:r>
        <w:rPr>
          <w:b/>
        </w:rPr>
        <w:t xml:space="preserve">Critérios de exclusão</w:t>
      </w:r>
    </w:p>
    <w:p>
      <w:pPr>
        <w:pStyle w:val="BodyText"/>
      </w:pPr>
      <w:r>
        <w:t xml:space="preserve">Foram excluídos da análise os pacientes que não tinham informação completa sobre a profilaxia dos quatro medicamentos estudados, bem como os pacientes que não fizeram uso de pelo menos um dos quatro medicamentos estudados.</w:t>
      </w:r>
    </w:p>
    <w:p>
      <w:pPr>
        <w:pStyle w:val="BodyText"/>
      </w:pPr>
      <w:r>
        <w:t xml:space="preserve">Cada paciente foi contabilizado uma única vez. Pacientes em multiplicidade, isto é, prontuários que foram levantados mais de uma vez no período analisado no estudo tiveram suas duplicatas excluídas.</w:t>
      </w:r>
    </w:p>
    <w:p>
      <w:pPr>
        <w:pStyle w:val="BodyText"/>
      </w:pPr>
      <w:r>
        <w:rPr>
          <w:b/>
        </w:rPr>
        <w:t xml:space="preserve">Dados faltantes</w:t>
      </w:r>
    </w:p>
    <w:p>
      <w:pPr>
        <w:pStyle w:val="BodyText"/>
      </w:pPr>
      <w:r>
        <w:t xml:space="preserve">A descrição dos dados não críticos ao atendimento dos objetivos deste estudo levaram em conta o maior número disponível de pacientes. A média e desvio padrão dos dados numéricos foram calculadas levando em conta apenas os pacientes que continham estes dados. A contagem e porcentagem dos dados categóricos recebeu o mesmo tratamento. Assim, os pacientes que não dispunham de dado foram desconsiderados para o cálculo dos resultados. Em todos os casos em que havia dados faltantes, o número de pacientes não considerados será apresentado.</w:t>
      </w:r>
    </w:p>
    <w:p>
      <w:pPr>
        <w:pStyle w:val="BodyText"/>
      </w:pPr>
      <w:r>
        <w:rPr>
          <w:b/>
        </w:rPr>
        <w:t xml:space="preserve">5 RESULTADOS</w:t>
      </w:r>
    </w:p>
    <w:p>
      <w:pPr>
        <w:pStyle w:val="BodyText"/>
      </w:pPr>
      <w:r>
        <w:rPr>
          <w:b/>
        </w:rPr>
        <w:t xml:space="preserve">Critérios de exclusão</w:t>
      </w:r>
    </w:p>
    <w:p>
      <w:pPr>
        <w:pStyle w:val="BodyText"/>
      </w:pPr>
      <w:r>
        <w:t xml:space="preserve">Após o levantamento dos pacientes com diagnóstico positivo para TVP (N original 486), foram encontrados 55 prontuários com múltiplas ocorrências no período de 5 anos do estudo. Por este motivo foram excluídas 64 entradas duplicadas, preservando apenas a primeira ocorrência de cada paciente.</w:t>
      </w:r>
    </w:p>
    <w:p>
      <w:pPr>
        <w:pStyle w:val="BodyText"/>
      </w:pPr>
      <w:r>
        <w:rPr>
          <w:b/>
        </w:rPr>
        <w:t xml:space="preserve">dados faltantes</w:t>
      </w:r>
    </w:p>
    <w:p>
      <w:pPr>
        <w:pStyle w:val="BodyText"/>
      </w:pPr>
      <w:r>
        <w:t xml:space="preserve">62 pacientes não tiveram o IMC calculado devido à ausência de dados de altura, peso ou ambos. 2 pacientes não tinham informação sobre TEP. Não foi encontrada informação sobre a comorbidade Cardiopatia para 87 pacientes.</w:t>
      </w:r>
    </w:p>
    <w:p>
      <w:pPr>
        <w:pStyle w:val="BodyText"/>
      </w:pPr>
      <w:r>
        <w:t xml:space="preserve">Após a aplicação dos critérios de inclusão e exclusão foram obtidas informações de 422 pacientes para este estudo.</w:t>
      </w:r>
    </w:p>
    <w:p>
      <w:pPr>
        <w:pStyle w:val="BodyText"/>
      </w:pPr>
      <w:r>
        <w:rPr>
          <w:b/>
        </w:rPr>
        <w:t xml:space="preserve">5.1.1 Pacientes com Tromboembolismo Venoso</w:t>
      </w:r>
    </w:p>
    <w:p>
      <w:pPr>
        <w:pStyle w:val="BodyText"/>
      </w:pPr>
      <w:r>
        <w:t xml:space="preserve">No período de 2010 até 2014 foram diagnosticados pelo ecodoppler 422 pacientes com TVP. Destes 8 (1,9%) pacientes apresentaram concomitante TEP, 54 (12,8%) pacientes desenvolveram síndrome pós- trombótica e 61 (14,5%) apresentaram TVP prévia a cirurgia. A idade média (±DP) dos pacientes foi 63,4 (±15,8) anos. A média (±DP) do IMC foi de 28,7 (±6,4) e os centros que apresentaram maior percentual de tromboembolismo venoso foram o Centro de Atenção Especializada (CAE) do joelho, do quadril e do trauma (82,7%).</w:t>
      </w:r>
    </w:p>
    <w:p>
      <w:pPr>
        <w:pStyle w:val="BodyText"/>
      </w:pPr>
      <w:r>
        <w:rPr>
          <w:b/>
        </w:rPr>
        <w:t xml:space="preserve">5.1.1.1 Medidas Preventivas Medicamentosas e Não Medicamentosas</w:t>
      </w:r>
    </w:p>
    <w:p>
      <w:pPr>
        <w:pStyle w:val="BodyText"/>
      </w:pPr>
      <w:r>
        <w:t xml:space="preserve">Todos os pacientes que foram submetidos à cirurgia ortopédica de grande porte (ATQ, ATJ, Coluna e Trauma do Fêmur), receberam profilaxia medicamentosa. A heparina de baixo peso molecular, foi prescrita para 380 (90,0%) pacientes, a Rivaroxabana para 86 (20,4%) , a Dabigatrana para 5 (1,2%) pacientes e a varfarina para 193 (45,7%). Sendo que alguns pacientes no período da hospitalização foi prescrita HBPM e na alta hospitalar a varfarina ou rivaroxabana de acordo com avaliação do clínico ou do cirurgião vascular. A profilaxia não medicamentosa utilizada é o dispositivo de compressão pneumática: no Centro de Terapia Intensiva (CTI), após o procedimento cirúrgico nos paciente que foram submetidos à artrodese de coluna e para outras cirurgias ortopédicas com prescrição do intensivistas e nas enfermarias após avaliação do clinico.</w:t>
      </w:r>
    </w:p>
    <w:p>
      <w:pPr>
        <w:pStyle w:val="BodyText"/>
      </w:pPr>
      <w:r>
        <w:rPr>
          <w:b/>
        </w:rPr>
        <w:t xml:space="preserve">5.1.1.1.1 Comorbidades</w:t>
      </w:r>
    </w:p>
    <w:p>
      <w:pPr>
        <w:pStyle w:val="BodyText"/>
      </w:pPr>
      <w:r>
        <w:t xml:space="preserve">Nos pacientes que apresentaram tromboembolismo venoso sintomático, 222 (52,6%) dos pacientes apresentaram hipertensão arterial, 3 (0,7%) Doença Reumática, em 14 (3,3%) a Artrite Reumatoide, em 12 (2,8%) AVC, em 42 (10,0%) Diabetes Mellitus e em 15 (3,6%) Cardiopatia.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Novos resultados</w:t>
      </w:r>
    </w:p>
    <w:p>
      <w:pPr>
        <w:pStyle w:val="BodyText"/>
      </w:pPr>
      <w:r>
        <w:rPr>
          <w:b/>
        </w:rPr>
        <w:t xml:space="preserve">Obesidade</w:t>
      </w:r>
      <w:r>
        <w:t xml:space="preserve"> </w:t>
      </w:r>
      <w:r>
        <w:t xml:space="preserve">(IMC &gt;= 30):</w:t>
      </w:r>
    </w:p>
    <w:p>
      <w:pPr>
        <w:pStyle w:val="BodyText"/>
      </w:pPr>
      <w:r>
        <w:t xml:space="preserve">N = 129</w:t>
      </w:r>
    </w:p>
    <w:p>
      <w:pPr>
        <w:pStyle w:val="BodyText"/>
      </w:pPr>
      <w:r>
        <w:t xml:space="preserve">35,3 %</w:t>
      </w:r>
    </w:p>
    <w:p>
      <w:pPr>
        <w:pStyle w:val="BodyText"/>
      </w:pPr>
      <w:r>
        <w:t xml:space="preserve">p-valor: &lt; 0,001</w:t>
      </w:r>
      <w:r>
        <w:t xml:space="preserve"> </w:t>
      </w:r>
    </w:p>
    <w:p>
      <w:pPr>
        <w:pStyle w:val="BodyText"/>
      </w:pPr>
      <w:r>
        <w:t xml:space="preserve">perdas: 63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graficos/im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Idosos</w:t>
      </w:r>
      <w:r>
        <w:t xml:space="preserve"> </w:t>
      </w:r>
      <w:r>
        <w:t xml:space="preserve">(Idade &gt;= 65):</w:t>
      </w:r>
    </w:p>
    <w:p>
      <w:pPr>
        <w:pStyle w:val="BodyText"/>
      </w:pPr>
      <w:r>
        <w:t xml:space="preserve">N = 228</w:t>
      </w:r>
    </w:p>
    <w:p>
      <w:pPr>
        <w:pStyle w:val="BodyText"/>
      </w:pPr>
      <w:r>
        <w:t xml:space="preserve">53,6 %</w:t>
      </w:r>
    </w:p>
    <w:p>
      <w:pPr>
        <w:pStyle w:val="BodyText"/>
      </w:pPr>
      <w:r>
        <w:t xml:space="preserve">p-valor: 0,158</w:t>
      </w:r>
    </w:p>
    <w:p>
      <w:pPr>
        <w:pStyle w:val="BodyText"/>
      </w:pPr>
      <w:r>
        <w:t xml:space="preserve">(sem perdas)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graficos/ida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Amplitude dos dados quantitativos</w:t>
      </w:r>
    </w:p>
    <w:p>
      <w:pPr>
        <w:pStyle w:val="Compact"/>
        <w:numPr>
          <w:numId w:val="1001"/>
          <w:ilvl w:val="0"/>
        </w:numPr>
      </w:pPr>
      <w:r>
        <w:t xml:space="preserve">Idade mínima: 15</w:t>
      </w:r>
    </w:p>
    <w:p>
      <w:pPr>
        <w:pStyle w:val="Compact"/>
        <w:numPr>
          <w:numId w:val="1001"/>
          <w:ilvl w:val="0"/>
        </w:numPr>
      </w:pPr>
      <w:r>
        <w:t xml:space="preserve">Idade máxima: 94</w:t>
      </w:r>
    </w:p>
    <w:p>
      <w:pPr>
        <w:pStyle w:val="Compact"/>
        <w:numPr>
          <w:numId w:val="1001"/>
          <w:ilvl w:val="0"/>
        </w:numPr>
      </w:pPr>
      <w:r>
        <w:t xml:space="preserve">IMC mínimo: 15,4</w:t>
      </w:r>
    </w:p>
    <w:p>
      <w:pPr>
        <w:pStyle w:val="Compact"/>
        <w:numPr>
          <w:numId w:val="1001"/>
          <w:ilvl w:val="0"/>
        </w:numPr>
      </w:pPr>
      <w:r>
        <w:t xml:space="preserve">IMC máximo: 78,3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IMC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Min. :15,00</w:t>
            </w:r>
          </w:p>
        </w:tc>
        <w:tc>
          <w:p>
            <w:pPr>
              <w:pStyle w:val="Compact"/>
              <w:jc w:val="center"/>
            </w:pPr>
            <w:r>
              <w:t xml:space="preserve">Min. :15,43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1st Qu.:54,00</w:t>
            </w:r>
          </w:p>
        </w:tc>
        <w:tc>
          <w:p>
            <w:pPr>
              <w:pStyle w:val="Compact"/>
              <w:jc w:val="center"/>
            </w:pPr>
            <w:r>
              <w:t xml:space="preserve">1st Qu.:24,66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 :66,00</w:t>
            </w:r>
          </w:p>
        </w:tc>
        <w:tc>
          <w:p>
            <w:pPr>
              <w:pStyle w:val="Compact"/>
              <w:jc w:val="center"/>
            </w:pPr>
            <w:r>
              <w:t xml:space="preserve">Median :27,77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 :63,43</w:t>
            </w:r>
          </w:p>
        </w:tc>
        <w:tc>
          <w:p>
            <w:pPr>
              <w:pStyle w:val="Compact"/>
              <w:jc w:val="center"/>
            </w:pPr>
            <w:r>
              <w:t xml:space="preserve">Mean :28,68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3rd Qu.:75,00</w:t>
            </w:r>
          </w:p>
        </w:tc>
        <w:tc>
          <w:p>
            <w:pPr>
              <w:pStyle w:val="Compact"/>
              <w:jc w:val="center"/>
            </w:pPr>
            <w:r>
              <w:t xml:space="preserve">3rd Qu.:31,65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Max. :94,00</w:t>
            </w:r>
          </w:p>
        </w:tc>
        <w:tc>
          <w:p>
            <w:pPr>
              <w:pStyle w:val="Compact"/>
              <w:jc w:val="center"/>
            </w:pPr>
            <w:r>
              <w:t xml:space="preserve">Max. :78,34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NA's :62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52e2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08ab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Felipe Figueiredo</dc:creator>
  <dcterms:created xsi:type="dcterms:W3CDTF">2016-11-12</dcterms:created>
  <dcterms:modified xsi:type="dcterms:W3CDTF">2016-11-12</dcterms:modified>
</cp:coreProperties>
</file>