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CAE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CMF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137 (38.0)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McR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ONCO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81 (22.4)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86 (23.8)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112f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