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364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Artrite.Reumatoide (%)</w:t>
            </w:r>
          </w:p>
        </w:tc>
        <w:tc>
          <w:p>
            <w:pPr>
              <w:pStyle w:val="Compact"/>
              <w:jc w:val="center"/>
            </w:pPr>
            <w:r>
              <w:t xml:space="preserve">16 ( 4.4)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AVC (%)</w:t>
            </w:r>
          </w:p>
        </w:tc>
        <w:tc>
          <w:p>
            <w:pPr>
              <w:pStyle w:val="Compact"/>
              <w:jc w:val="center"/>
            </w:pPr>
            <w:r>
              <w:t xml:space="preserve">11 ( 3.0)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Cardiopatia (%)</w:t>
            </w:r>
          </w:p>
        </w:tc>
        <w:tc>
          <w:p>
            <w:pPr>
              <w:pStyle w:val="Compact"/>
              <w:jc w:val="center"/>
            </w:pPr>
            <w:r>
              <w:t xml:space="preserve">26 ( 7.1)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DM (%)</w:t>
            </w:r>
          </w:p>
        </w:tc>
        <w:tc>
          <w:p>
            <w:pPr>
              <w:pStyle w:val="Compact"/>
              <w:jc w:val="center"/>
            </w:pPr>
            <w:r>
              <w:t xml:space="preserve">40 (11.0)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Doenca.Reumatica (%)</w:t>
            </w:r>
          </w:p>
        </w:tc>
        <w:tc>
          <w:p>
            <w:pPr>
              <w:pStyle w:val="Compact"/>
              <w:jc w:val="center"/>
            </w:pPr>
            <w:r>
              <w:t xml:space="preserve">5 ( 1.4)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HAS (%)</w:t>
            </w:r>
          </w:p>
        </w:tc>
        <w:tc>
          <w:p>
            <w:pPr>
              <w:pStyle w:val="Compact"/>
              <w:jc w:val="center"/>
            </w:pPr>
            <w:r>
              <w:t xml:space="preserve">242 (66.5)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Obesidade (%)</w:t>
            </w:r>
          </w:p>
        </w:tc>
        <w:tc>
          <w:p>
            <w:pPr>
              <w:pStyle w:val="Compact"/>
              <w:jc w:val="center"/>
            </w:pPr>
            <w:r>
              <w:t xml:space="preserve">115 (34.8)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60cbce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