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Numero.Comorbidades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73 (20.1)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160 (44.0)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105 (28.8)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21 ( 5.8)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16 ( 4.4)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11 ( 3.0)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26 ( 7.1)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40 (11.0)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242 (66.5)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Obesidade (%)</w:t>
            </w:r>
          </w:p>
        </w:tc>
        <w:tc>
          <w:p>
            <w:pPr>
              <w:pStyle w:val="Compact"/>
              <w:jc w:val="center"/>
            </w:pPr>
            <w:r>
              <w:t xml:space="preserve">115 (34.8)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fa8b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