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= SIM (%)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= SIM (%)</w:t>
            </w:r>
          </w:p>
        </w:tc>
        <w:tc>
          <w:p>
            <w:pPr>
              <w:pStyle w:val="Compact"/>
              <w:jc w:val="center"/>
            </w:pPr>
            <w:r>
              <w:t xml:space="preserve">12 ( 2.9)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15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= SIM (%)</w:t>
            </w:r>
          </w:p>
        </w:tc>
        <w:tc>
          <w:p>
            <w:pPr>
              <w:pStyle w:val="Compact"/>
              <w:jc w:val="center"/>
            </w:pPr>
            <w:r>
              <w:t xml:space="preserve">44 (10.5)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= SIM (%)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= SIM (%)</w:t>
            </w:r>
          </w:p>
        </w:tc>
        <w:tc>
          <w:p>
            <w:pPr>
              <w:pStyle w:val="Compact"/>
              <w:jc w:val="center"/>
            </w:pPr>
            <w:r>
              <w:t xml:space="preserve">224 (53.3)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OUTRAS = SIM (%)</w:t>
            </w:r>
          </w:p>
        </w:tc>
        <w:tc>
          <w:p>
            <w:pPr>
              <w:pStyle w:val="Compact"/>
              <w:jc w:val="center"/>
            </w:pPr>
            <w:r>
              <w:t xml:space="preserve">87 (20.7)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f7c0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