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226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Numero.Comorbidades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0.907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44 (19.5)</w:t>
            </w:r>
          </w:p>
        </w:tc>
        <w:tc>
          <w:p>
            <w:pPr>
              <w:pStyle w:val="Compact"/>
              <w:jc w:val="center"/>
            </w:pPr>
            <w:r>
              <w:t xml:space="preserve">29 (21.0)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100 (44.2)</w:t>
            </w:r>
          </w:p>
        </w:tc>
        <w:tc>
          <w:p>
            <w:pPr>
              <w:pStyle w:val="Compact"/>
              <w:jc w:val="center"/>
            </w:pPr>
            <w:r>
              <w:t xml:space="preserve">60 (43.5)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66 (29.2)</w:t>
            </w:r>
          </w:p>
        </w:tc>
        <w:tc>
          <w:p>
            <w:pPr>
              <w:pStyle w:val="Compact"/>
              <w:jc w:val="center"/>
            </w:pPr>
            <w:r>
              <w:t xml:space="preserve">39 (28.3)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 ( 5.8)</w:t>
            </w:r>
          </w:p>
        </w:tc>
        <w:tc>
          <w:p>
            <w:pPr>
              <w:pStyle w:val="Compact"/>
              <w:jc w:val="center"/>
            </w:pPr>
            <w:r>
              <w:t xml:space="preserve">8 ( 5.8)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 ( 1.3)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9 ( 4.0)</w:t>
            </w:r>
          </w:p>
        </w:tc>
        <w:tc>
          <w:p>
            <w:pPr>
              <w:pStyle w:val="Compact"/>
              <w:jc w:val="center"/>
            </w:pPr>
            <w:r>
              <w:t xml:space="preserve">7 ( 5.1)</w:t>
            </w:r>
          </w:p>
        </w:tc>
        <w:tc>
          <w:p>
            <w:pPr>
              <w:pStyle w:val="Compact"/>
              <w:jc w:val="center"/>
            </w:pPr>
            <w:r>
              <w:t xml:space="preserve">0.610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4 ( 1.8)</w:t>
            </w:r>
          </w:p>
        </w:tc>
        <w:tc>
          <w:p>
            <w:pPr>
              <w:pStyle w:val="Compact"/>
              <w:jc w:val="center"/>
            </w:pPr>
            <w:r>
              <w:t xml:space="preserve">7 ( 5.1)</w:t>
            </w:r>
          </w:p>
        </w:tc>
        <w:tc>
          <w:p>
            <w:pPr>
              <w:pStyle w:val="Compact"/>
              <w:jc w:val="center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15 ( 6.6)</w:t>
            </w:r>
          </w:p>
        </w:tc>
        <w:tc>
          <w:p>
            <w:pPr>
              <w:pStyle w:val="Compact"/>
              <w:jc w:val="center"/>
            </w:pPr>
            <w:r>
              <w:t xml:space="preserve">11 ( 8.0)</w:t>
            </w:r>
          </w:p>
        </w:tc>
        <w:tc>
          <w:p>
            <w:pPr>
              <w:pStyle w:val="Compact"/>
              <w:jc w:val="center"/>
            </w:pPr>
            <w:r>
              <w:t xml:space="preserve">0.677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24 (10.6)</w:t>
            </w:r>
          </w:p>
        </w:tc>
        <w:tc>
          <w:p>
            <w:pPr>
              <w:pStyle w:val="Compact"/>
              <w:jc w:val="center"/>
            </w:pPr>
            <w:r>
              <w:t xml:space="preserve">16 (11.6)</w:t>
            </w:r>
          </w:p>
        </w:tc>
        <w:tc>
          <w:p>
            <w:pPr>
              <w:pStyle w:val="Compact"/>
              <w:jc w:val="center"/>
            </w:pPr>
            <w:r>
              <w:t xml:space="preserve">0.863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3 ( 1.3)</w:t>
            </w:r>
          </w:p>
        </w:tc>
        <w:tc>
          <w:p>
            <w:pPr>
              <w:pStyle w:val="Compact"/>
              <w:jc w:val="center"/>
            </w:pPr>
            <w:r>
              <w:t xml:space="preserve">2 ( 1.4)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148 (65.5)</w:t>
            </w:r>
          </w:p>
        </w:tc>
        <w:tc>
          <w:p>
            <w:pPr>
              <w:pStyle w:val="Compact"/>
              <w:jc w:val="center"/>
            </w:pPr>
            <w:r>
              <w:t xml:space="preserve">94 (68.1)</w:t>
            </w:r>
          </w:p>
        </w:tc>
        <w:tc>
          <w:p>
            <w:pPr>
              <w:pStyle w:val="Compact"/>
              <w:jc w:val="center"/>
            </w:pPr>
            <w:r>
              <w:t xml:space="preserve">0.648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Obesidade (%)</w:t>
            </w:r>
          </w:p>
        </w:tc>
        <w:tc>
          <w:p>
            <w:pPr>
              <w:pStyle w:val="Compact"/>
              <w:jc w:val="center"/>
            </w:pPr>
            <w:r>
              <w:t xml:space="preserve">80 (39.4)</w:t>
            </w:r>
          </w:p>
        </w:tc>
        <w:tc>
          <w:p>
            <w:pPr>
              <w:pStyle w:val="Compact"/>
              <w:jc w:val="center"/>
            </w:pPr>
            <w:r>
              <w:t xml:space="preserve">35 (27.6)</w:t>
            </w:r>
          </w:p>
        </w:tc>
        <w:tc>
          <w:p>
            <w:pPr>
              <w:pStyle w:val="Compact"/>
              <w:jc w:val="center"/>
            </w:pPr>
            <w:r>
              <w:t xml:space="preserve">0.033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f13b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