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Sexo (%)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224 (61.4)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141 (38.6)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63.56 (15.97)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1.63 (0.10)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75.51 (19.47)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28.40 (6.20)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Tipo.Atendimento (%)</w:t>
            </w:r>
          </w:p>
        </w:tc>
        <w:tc>
          <w:p>
            <w:pPr>
              <w:pStyle w:val="Compact"/>
              <w:jc w:val="center"/>
            </w:pPr>
            <w:r>
              <w:t xml:space="preserve">EXTERNO</w:t>
            </w:r>
          </w:p>
        </w:tc>
        <w:tc>
          <w:p>
            <w:pPr>
              <w:pStyle w:val="Compact"/>
              <w:jc w:val="center"/>
            </w:pPr>
            <w:r>
              <w:t xml:space="preserve">140 (38.4)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INTERNAÇÃO</w:t>
            </w:r>
          </w:p>
        </w:tc>
        <w:tc>
          <w:p>
            <w:pPr>
              <w:pStyle w:val="Compact"/>
              <w:jc w:val="center"/>
            </w:pPr>
            <w:r>
              <w:t xml:space="preserve">225 (61.6)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TEP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357 (98.1)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7 ( 1.9)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SPT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325 (89.0)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40 (11.0)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TVP.PREVIA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322 (88.2)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43 (11.8)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4fa2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