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138 (37,8)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64,18 (15,71)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Idoso (%)</w:t>
            </w:r>
          </w:p>
        </w:tc>
        <w:tc>
          <w:p>
            <w:pPr>
              <w:pStyle w:val="Compact"/>
              <w:jc w:val="center"/>
            </w:pPr>
            <w:r>
              <w:t xml:space="preserve">205 (56,2)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1,63 (0,11)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75,86 (19,39)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28,59 (6,43)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Obeso (%)</w:t>
            </w:r>
          </w:p>
        </w:tc>
        <w:tc>
          <w:p>
            <w:pPr>
              <w:pStyle w:val="Compact"/>
              <w:jc w:val="center"/>
            </w:pPr>
            <w:r>
              <w:t xml:space="preserve">115 (34,7)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229 (62,7)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11 ( 3,2)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50 (14,7)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50 (14,7)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570f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