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Trombo.Agudo (%)</w:t>
            </w:r>
          </w:p>
        </w:tc>
        <w:tc>
          <w:p>
            <w:pPr>
              <w:pStyle w:val="Compact"/>
              <w:jc w:val="center"/>
            </w:pPr>
            <w:r>
              <w:t xml:space="preserve">125 (34.6)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Trombo.Subagudo (%)</w:t>
            </w:r>
          </w:p>
        </w:tc>
        <w:tc>
          <w:p>
            <w:pPr>
              <w:pStyle w:val="Compact"/>
              <w:jc w:val="center"/>
            </w:pPr>
            <w:r>
              <w:t xml:space="preserve">109 (30.2)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Trombo.Antigo (%)</w:t>
            </w:r>
          </w:p>
        </w:tc>
        <w:tc>
          <w:p>
            <w:pPr>
              <w:pStyle w:val="Compact"/>
              <w:jc w:val="center"/>
            </w:pPr>
            <w:r>
              <w:t xml:space="preserve">79 (21.9)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Trombo.Recanalizado (%)</w:t>
            </w:r>
          </w:p>
        </w:tc>
        <w:tc>
          <w:p>
            <w:pPr>
              <w:pStyle w:val="Compact"/>
              <w:jc w:val="center"/>
            </w:pPr>
            <w:r>
              <w:t xml:space="preserve">119 (33.0)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ce87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