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3940" cy="21590"/>
              <wp:effectExtent l="0" t="0" r="0" b="0"/>
              <wp:docPr id="2" name="Forma2"/>
              <a:graphic xmlns:a="http://schemas.openxmlformats.org/drawingml/2006/main">
                <a:graphicData uri="http://schemas.microsoft.com/office/word/2010/wordprocessingShape">
                  <wps:wsp>
                    <wps:cNvSpPr/>
                    <wps:spPr>
                      <a:xfrm>
                        <a:off x="0" y="0"/>
                        <a:ext cx="612324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fillcolor="#a0a0a0" stroked="f" style="position:absolute;margin-left:0pt;margin-top:-1.7pt;width:482.1pt;height:1.6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2"/>
      <w:gridCol w:w="794"/>
      <w:gridCol w:w="168"/>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Consultoria de Bioestatística</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2"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pPr>
          <w:r>
            <w:rPr>
              <w:rFonts w:cs="Arial"/>
              <w:b/>
              <w:bCs/>
              <w:sz w:val="18"/>
              <w:szCs w:val="18"/>
            </w:rPr>
            <w:t>Ano</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pPr>
          <w:r>
            <w:rPr>
              <w:rFonts w:cs="Arial"/>
              <w:bCs/>
              <w:sz w:val="18"/>
              <w:szCs w:val="18"/>
            </w:rPr>
            <w:t>aaaa</w:t>
          </w:r>
        </w:p>
      </w:tc>
      <w:tc>
        <w:tcPr>
          <w:tcW w:w="168"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Página</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rFonts w:eastAsia="Calibri" w:cs="" w:cstheme="minorBidi" w:eastAsiaTheme="minorHAnsi"/>
              <w:b/>
              <w:color w:val="auto"/>
              <w:kern w:val="0"/>
              <w:sz w:val="20"/>
              <w:szCs w:val="22"/>
              <w:lang w:val="pt-BR" w:eastAsia="en-US" w:bidi="ar-SA"/>
            </w:rPr>
            <w:t>Plano</w:t>
          </w:r>
          <w:r>
            <w:rPr>
              <w:b/>
            </w:rPr>
            <w:t xml:space="preserve"> de Análise </w:t>
          </w:r>
          <w:r>
            <w:rPr>
              <w:rFonts w:eastAsia="Calibri" w:cs="" w:cstheme="minorBidi" w:eastAsiaTheme="minorHAnsi"/>
              <w:b/>
              <w:color w:val="auto"/>
              <w:kern w:val="0"/>
              <w:sz w:val="20"/>
              <w:szCs w:val="22"/>
              <w:lang w:val="pt-BR" w:eastAsia="en-US" w:bidi="ar-SA"/>
            </w:rPr>
            <w:t>Estatística (SAP)</w:t>
          </w:r>
        </w:p>
        <w:p>
          <w:pPr>
            <w:pStyle w:val="Normal"/>
            <w:widowControl w:val="false"/>
            <w:suppressAutoHyphens w:val="true"/>
            <w:spacing w:lineRule="auto" w:line="240" w:beforeAutospacing="0" w:before="0" w:afterAutospacing="0" w:after="0"/>
            <w:ind w:left="0" w:right="0" w:hanging="0"/>
            <w:jc w:val="center"/>
            <w:rPr/>
          </w:pPr>
          <w:r>
            <w:rPr/>
            <w:t>Consultoria de Bioestatística</w:t>
          </w:r>
        </w:p>
      </w:tc>
    </w:tr>
    <w:tr>
      <w:trPr>
        <w:trHeight w:val="170"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b/>
              <w:sz w:val="18"/>
              <w:szCs w:val="18"/>
            </w:rPr>
            <w:t>https://github.com/philsf-biostat/analise_dados_XX_aaaa</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3305" cy="21590"/>
              <wp:effectExtent l="0" t="0" r="0" b="1270"/>
              <wp:docPr id="1" name="Forma1"/>
              <a:graphic xmlns:a="http://schemas.openxmlformats.org/drawingml/2006/main">
                <a:graphicData uri="http://schemas.microsoft.com/office/word/2010/wordprocessingShape">
                  <wps:wsp>
                    <wps:cNvSpPr/>
                    <wps:spPr>
                      <a:xfrm>
                        <a:off x="0" y="0"/>
                        <a:ext cx="612252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fillcolor="#a0a0a0" stroked="f" style="position:absolute;margin-left:0pt;margin-top:-1.8pt;width:482.05pt;height:1.6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LibreOffice/7.0.4.2$Linux_X86_64 LibreOffice_project/00$Build-2</Application>
  <AppVersion>15.0000</AppVersion>
  <DocSecurity>0</DocSecurity>
  <Pages>4</Pages>
  <Words>935</Words>
  <Characters>5471</Characters>
  <CharactersWithSpaces>6335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2021-01-07T11:35:26Z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