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Cø / N* Student Base Resource Pack</w:t>
      </w:r>
    </w:p>
    <w:p>
      <w:pPr>
        <w:pStyle w:val="Subtitle"/>
      </w:pPr>
      <w:r>
        <w:t xml:space="preserve">Key-free and reveal-safe collaborative materials for Sessions 1-14</w:t>
      </w:r>
    </w:p>
    <w:p>
      <w:pPr>
        <w:pStyle w:val="Author"/>
      </w:pPr>
      <w:r>
        <w:t xml:space="preserve">Phil Stilwell</w:t>
      </w:r>
    </w:p>
    <w:p>
      <w:pPr>
        <w:pStyle w:val="Date"/>
      </w:pPr>
      <w:r>
        <w:t xml:space="preserve">Student base edition 2.1 - July 18, 2026</w:t>
      </w:r>
    </w:p>
    <w:bookmarkStart w:id="62" w:name="student-use"/>
    <w:p>
      <w:pPr>
        <w:pStyle w:val="Heading1"/>
      </w:pPr>
      <w:r>
        <w:t xml:space="preserve">Student Use Guide</w:t>
      </w:r>
    </w:p>
    <w:p>
      <w:pPr>
        <w:pStyle w:val="FirstParagraph"/>
      </w:pPr>
      <w:r>
        <w:t xml:space="preserve">This pack contains initial student-facing materials only. It omits answer keys and every instructor-controlled reveal. Your instructor will release assigned evidence cards after the stated commitment point. All cases and values are synthetic and for teaching only; do not use them for clinical, welfare, or consciousness judgments outside the course.</w:t>
      </w:r>
    </w:p>
    <w:bookmarkStart w:id="13" w:name="common-use-rules"/>
    <w:p>
      <w:pPr>
        <w:pStyle w:val="Heading2"/>
      </w:pPr>
      <w:r>
        <w:t xml:space="preserve">Common Use Rules</w:t>
      </w:r>
    </w:p>
    <w:bookmarkStart w:id="9" w:name="core-and-extension"/>
    <w:p>
      <w:pPr>
        <w:pStyle w:val="Heading3"/>
      </w:pPr>
      <w:r>
        <w:t xml:space="preserve">Core and extension</w:t>
      </w:r>
    </w:p>
    <w:p>
      <w:pPr>
        <w:pStyle w:val="Compact"/>
        <w:numPr>
          <w:ilvl w:val="0"/>
          <w:numId w:val="1001"/>
        </w:numPr>
      </w:pPr>
      <w:r>
        <w:rPr>
          <w:b/>
          <w:bCs/>
        </w:rPr>
        <w:t xml:space="preserve">Core</w:t>
      </w:r>
      <w:r>
        <w:t xml:space="preserve"> </w:t>
      </w:r>
      <w:r>
        <w:t xml:space="preserve">material is designed to fit the collaborative block in the session plan.</w:t>
      </w:r>
    </w:p>
    <w:p>
      <w:pPr>
        <w:pStyle w:val="Compact"/>
        <w:numPr>
          <w:ilvl w:val="0"/>
          <w:numId w:val="1001"/>
        </w:numPr>
      </w:pPr>
      <w:r>
        <w:rPr>
          <w:b/>
          <w:bCs/>
        </w:rPr>
        <w:t xml:space="preserve">Extension</w:t>
      </w:r>
      <w:r>
        <w:t xml:space="preserve"> </w:t>
      </w:r>
      <w:r>
        <w:t xml:space="preserve">material may be assigned before class, used when a group finishes early, or moved to a discussion section.</w:t>
      </w:r>
    </w:p>
    <w:p>
      <w:pPr>
        <w:pStyle w:val="Compact"/>
        <w:numPr>
          <w:ilvl w:val="0"/>
          <w:numId w:val="1001"/>
        </w:numPr>
      </w:pPr>
      <w:r>
        <w:t xml:space="preserve">The student base pack contains neither keys nor controlled-reveal evidence. Instructors release only the assigned reveal sheet after the stated written commitment; answer keys remain private until the exercise closes.</w:t>
      </w:r>
    </w:p>
    <w:bookmarkEnd w:id="9"/>
    <w:bookmarkStart w:id="10" w:name="shared-role-scaling"/>
    <w:p>
      <w:pPr>
        <w:pStyle w:val="Heading3"/>
      </w:pPr>
      <w:r>
        <w:t xml:space="preserve">Shared role scaling</w:t>
      </w:r>
    </w:p>
    <w:p>
      <w:pPr>
        <w:pStyle w:val="FirstParagraph"/>
      </w:pPr>
      <w:r>
        <w:t xml:space="preserve">Use the session-specific role labels where supplied. Scale them as follows.</w:t>
      </w:r>
    </w:p>
    <w:tbl>
      <w:tblPr>
        <w:tblStyle w:val="Table"/>
        <w:tblW w:type="dxa" w:w="9994"/>
        <w:jc w:val="center"/>
        <w:tblLayout w:type="fixed"/>
        <w:tblLook w:firstRow="1" w:lastRow="0" w:firstColumn="0" w:lastColumn="0" w:noHBand="0" w:noVBand="0" w:val="0020"/>
      </w:tblPr>
      <w:tblGrid>
        <w:gridCol w:w="1399"/>
        <w:gridCol w:w="8595"/>
      </w:tblGrid>
      <w:tr>
        <w:trPr>
          <w:tblHeader w:val="on"/>
          <w:cantSplit/>
        </w:trPr>
        <w:tc>
          <w:tcPr>
            <w:tcW w:w="1399" w:type="dxa"/>
            <w:vAlign w:val="center"/>
            <w:tcMar>
              <w:top w:w="70" w:type="dxa"/>
              <w:bottom w:w="70" w:type="dxa"/>
              <w:start w:w="85" w:type="dxa"/>
              <w:end w:w="85" w:type="dxa"/>
            </w:tcMar>
            <w:shd w:fill="1B344C" w:val="clear"/>
          </w:tcPr>
          <w:p>
            <w:pPr>
              <w:pStyle w:val="Compact"/>
              <w:spacing w:before="0" w:after="40" w:line="240" w:lineRule="auto"/>
              <w:jc w:val="right"/>
            </w:pPr>
            <w:r>
              <w:rPr>
                <w:rFonts w:ascii="Liberation Sans" w:hAnsi="Liberation Sans" w:eastAsia="Liberation Sans" w:cs="Liberation Sans"/>
                <w:b/>
                <w:color w:val="FFFFFF"/>
                <w:sz w:val="18"/>
              </w:rPr>
              <w:t xml:space="preserve">Team size</w:t>
            </w:r>
          </w:p>
        </w:tc>
        <w:tc>
          <w:tcPr>
            <w:tcW w:w="8595"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Assignment rule</w:t>
            </w:r>
          </w:p>
        </w:tc>
      </w:tr>
      <w:tr>
        <w:trPr>
          <w:cantSplit/>
        </w:trPr>
        <w:tc>
          <w:tcPr>
            <w:tcW w:w="1399" w:type="dxa"/>
            <w:vAlign w:val="center"/>
            <w:tcMar>
              <w:top w:w="70" w:type="dxa"/>
              <w:bottom w:w="70" w:type="dxa"/>
              <w:start w:w="85" w:type="dxa"/>
              <w:end w:w="85" w:type="dxa"/>
            </w:tcMar>
            <w:shd w:fill="FFFFFF" w:val="clear"/>
          </w:tcPr>
          <w:p>
            <w:pPr>
              <w:pStyle w:val="Compact"/>
              <w:spacing w:before="0" w:after="40" w:line="240" w:lineRule="auto"/>
              <w:jc w:val="right"/>
            </w:pPr>
            <w:r>
              <w:rPr>
                <w:rFonts w:ascii="Liberation Sans" w:hAnsi="Liberation Sans" w:eastAsia="Liberation Sans" w:cs="Liberation Sans"/>
                <w:color w:val="232A30"/>
                <w:sz w:val="18"/>
              </w:rPr>
              <w:t xml:space="preserve">3</w:t>
            </w:r>
          </w:p>
        </w:tc>
        <w:tc>
          <w:tcPr>
            <w:tcW w:w="8595"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Student 1 combines model reconstruction and reporting. Student 2 is validity and methods auditor. Student 3 is rival advocate and process monitor.</w:t>
            </w:r>
          </w:p>
        </w:tc>
      </w:tr>
      <w:tr>
        <w:trPr>
          <w:cantSplit/>
        </w:trPr>
        <w:tc>
          <w:tcPr>
            <w:tcW w:w="1399" w:type="dxa"/>
            <w:vAlign w:val="center"/>
            <w:tcMar>
              <w:top w:w="70" w:type="dxa"/>
              <w:bottom w:w="70" w:type="dxa"/>
              <w:start w:w="85" w:type="dxa"/>
              <w:end w:w="85" w:type="dxa"/>
            </w:tcMar>
            <w:shd w:fill="F4F6F7" w:val="clear"/>
          </w:tcPr>
          <w:p>
            <w:pPr>
              <w:pStyle w:val="Compact"/>
              <w:spacing w:before="0" w:after="40" w:line="240" w:lineRule="auto"/>
              <w:jc w:val="right"/>
            </w:pPr>
            <w:r>
              <w:rPr>
                <w:rFonts w:ascii="Liberation Sans" w:hAnsi="Liberation Sans" w:eastAsia="Liberation Sans" w:cs="Liberation Sans"/>
                <w:color w:val="232A30"/>
                <w:sz w:val="18"/>
              </w:rPr>
              <w:t xml:space="preserve">4</w:t>
            </w:r>
          </w:p>
        </w:tc>
        <w:tc>
          <w:tcPr>
            <w:tcW w:w="8595"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Use model reconstructer, validity auditor, rival advocate, and synthesis reporter as separate roles.</w:t>
            </w:r>
          </w:p>
        </w:tc>
      </w:tr>
      <w:tr>
        <w:trPr>
          <w:cantSplit/>
        </w:trPr>
        <w:tc>
          <w:tcPr>
            <w:tcW w:w="1399" w:type="dxa"/>
            <w:vAlign w:val="center"/>
            <w:tcMar>
              <w:top w:w="70" w:type="dxa"/>
              <w:bottom w:w="70" w:type="dxa"/>
              <w:start w:w="85" w:type="dxa"/>
              <w:end w:w="85" w:type="dxa"/>
            </w:tcMar>
            <w:shd w:fill="FFFFFF" w:val="clear"/>
          </w:tcPr>
          <w:p>
            <w:pPr>
              <w:pStyle w:val="Compact"/>
              <w:spacing w:before="0" w:after="40" w:line="240" w:lineRule="auto"/>
              <w:jc w:val="right"/>
            </w:pPr>
            <w:r>
              <w:rPr>
                <w:rFonts w:ascii="Liberation Sans" w:hAnsi="Liberation Sans" w:eastAsia="Liberation Sans" w:cs="Liberation Sans"/>
                <w:color w:val="232A30"/>
                <w:sz w:val="18"/>
              </w:rPr>
              <w:t xml:space="preserve">5</w:t>
            </w:r>
          </w:p>
        </w:tc>
        <w:tc>
          <w:tcPr>
            <w:tcW w:w="8595"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Use the four separate roles and add a process/accessibility monitor who tracks target drift, time, dissent, and equitable participation.</w:t>
            </w:r>
          </w:p>
        </w:tc>
      </w:tr>
    </w:tbl>
    <w:p>
      <w:pPr>
        <w:pStyle w:val="BodyText"/>
      </w:pPr>
      <w:r>
        <w:t xml:space="preserve">Every student makes a private initial commitment before group discussion. Every team submits one conclusion, one residual uncertainty, and any minority note.</w:t>
      </w:r>
    </w:p>
    <w:bookmarkEnd w:id="10"/>
    <w:bookmarkStart w:id="11" w:name="accessible-and-digital-default"/>
    <w:p>
      <w:pPr>
        <w:pStyle w:val="Heading3"/>
      </w:pPr>
      <w:r>
        <w:t xml:space="preserve">Accessible and digital default</w:t>
      </w:r>
    </w:p>
    <w:p>
      <w:pPr>
        <w:pStyle w:val="FirstParagraph"/>
      </w:pPr>
      <w:r>
        <w:t xml:space="preserve">All cards may be distributed as numbered LMS items or shared-document sections instead of paper. Students may respond in writing rather than move to a physical corner or speak in a fishbowl. Read every formula aloud in plain language. Do not encode status by color alone. Provide tables as editable text, allow screen-reader users to inspect one row at a time, and give students two quiet minutes before oral reporting. A student may serve as written analyst or asynchronous reviewer without disclosing a disability or personal experience.</w:t>
      </w:r>
    </w:p>
    <w:bookmarkEnd w:id="11"/>
    <w:bookmarkStart w:id="12" w:name="default-numerical-decision-rules"/>
    <w:p>
      <w:pPr>
        <w:pStyle w:val="Heading3"/>
      </w:pPr>
      <w:r>
        <w:t xml:space="preserve">Default numerical decision rules</w:t>
      </w:r>
    </w:p>
    <w:p>
      <w:pPr>
        <w:pStyle w:val="FirstParagraph"/>
      </w:pPr>
      <w:r>
        <w:t xml:space="preserve">Use these only when a session does not declare a different rule.</w:t>
      </w:r>
    </w:p>
    <w:p>
      <w:pPr>
        <w:pStyle w:val="Compact"/>
        <w:numPr>
          <w:ilvl w:val="0"/>
          <w:numId w:val="1002"/>
        </w:numPr>
      </w:pPr>
      <w:r>
        <w:t xml:space="preserve">A gate is</w:t>
      </w:r>
      <w:r>
        <w:t xml:space="preserve"> </w:t>
      </w:r>
      <w:r>
        <w:rPr>
          <w:b/>
          <w:bCs/>
        </w:rPr>
        <w:t xml:space="preserve">positive</w:t>
      </w:r>
      <w:r>
        <w:t xml:space="preserve"> </w:t>
      </w:r>
      <w:r>
        <w:t xml:space="preserve">when its lower uncertainty bound meets or exceeds its frozen threshold.</w:t>
      </w:r>
    </w:p>
    <w:p>
      <w:pPr>
        <w:pStyle w:val="Compact"/>
        <w:numPr>
          <w:ilvl w:val="0"/>
          <w:numId w:val="1002"/>
        </w:numPr>
      </w:pPr>
      <w:r>
        <w:t xml:space="preserve">A gate is</w:t>
      </w:r>
      <w:r>
        <w:t xml:space="preserve"> </w:t>
      </w:r>
      <w:r>
        <w:rPr>
          <w:b/>
          <w:bCs/>
        </w:rPr>
        <w:t xml:space="preserve">negative</w:t>
      </w:r>
      <w:r>
        <w:t xml:space="preserve"> </w:t>
      </w:r>
      <w:r>
        <w:t xml:space="preserve">when its upper uncertainty bound falls below its frozen threshold.</w:t>
      </w:r>
    </w:p>
    <w:p>
      <w:pPr>
        <w:pStyle w:val="Compact"/>
        <w:numPr>
          <w:ilvl w:val="0"/>
          <w:numId w:val="1002"/>
        </w:numPr>
      </w:pPr>
      <w:r>
        <w:t xml:space="preserve">A gate is</w:t>
      </w:r>
      <w:r>
        <w:t xml:space="preserve"> </w:t>
      </w:r>
      <w:r>
        <w:rPr>
          <w:b/>
          <w:bCs/>
        </w:rPr>
        <w:t xml:space="preserve">indeterminate</w:t>
      </w:r>
      <w:r>
        <w:t xml:space="preserve"> </w:t>
      </w:r>
      <w:r>
        <w:t xml:space="preserve">when its interval straddles the threshold.</w:t>
      </w:r>
    </w:p>
    <w:p>
      <w:pPr>
        <w:pStyle w:val="Compact"/>
        <w:numPr>
          <w:ilvl w:val="0"/>
          <w:numId w:val="1002"/>
        </w:numPr>
      </w:pPr>
      <w:r>
        <w:t xml:space="preserve">Equality is deliberate: a lower bound exactly on the threshold counts as a positive pass, whereas an upper bound exactly on the threshold does</w:t>
      </w:r>
      <w:r>
        <w:t xml:space="preserve"> </w:t>
      </w:r>
      <w:r>
        <w:rPr>
          <w:b/>
          <w:bCs/>
        </w:rPr>
        <w:t xml:space="preserve">not</w:t>
      </w:r>
      <w:r>
        <w:t xml:space="preserve"> </w:t>
      </w:r>
      <w:r>
        <w:t xml:space="preserve">count as a negative. If neither rule applies, report indeterminate.</w:t>
      </w:r>
    </w:p>
    <w:p>
      <w:pPr>
        <w:pStyle w:val="Compact"/>
        <w:numPr>
          <w:ilvl w:val="0"/>
          <w:numId w:val="1002"/>
        </w:numPr>
      </w:pPr>
      <w:r>
        <w:t xml:space="preserve">An equivalence interval passes only when the complete interval is contained in the declared</w:t>
      </w:r>
      <w:r>
        <w:t xml:space="preserve"> </w:t>
      </w:r>
      <w:r>
        <w:rPr>
          <w:b/>
          <w:bCs/>
        </w:rPr>
        <w:t xml:space="preserve">closed</w:t>
      </w:r>
      <w:r>
        <w:t xml:space="preserve"> </w:t>
      </w:r>
      <w:r>
        <w:t xml:space="preserve">margin, including its endpoints. A point estimate inside the margin or a nonsignificant difference is insufficient.</w:t>
      </w:r>
    </w:p>
    <w:p>
      <w:pPr>
        <w:pStyle w:val="Compact"/>
        <w:numPr>
          <w:ilvl w:val="0"/>
          <w:numId w:val="1002"/>
        </w:numPr>
      </w:pPr>
      <w:r>
        <w:t xml:space="preserve">A result is</w:t>
      </w:r>
      <w:r>
        <w:t xml:space="preserve"> </w:t>
      </w:r>
      <w:r>
        <w:rPr>
          <w:b/>
          <w:bCs/>
        </w:rPr>
        <w:t xml:space="preserve">unlicensed</w:t>
      </w:r>
      <w:r>
        <w:t xml:space="preserve"> </w:t>
      </w:r>
      <w:r>
        <w:t xml:space="preserve">when boundary, applicability, quality, source fidelity, independence, or transport fails.</w:t>
      </w:r>
    </w:p>
    <w:p>
      <w:pPr>
        <w:pStyle w:val="Compact"/>
        <w:numPr>
          <w:ilvl w:val="0"/>
          <w:numId w:val="1002"/>
        </w:numPr>
      </w:pPr>
      <w:r>
        <w:t xml:space="preserve">Credible surrogate conflict has precedence over scalar aggregation.</w:t>
      </w:r>
    </w:p>
    <w:p>
      <w:pPr>
        <w:pStyle w:val="Compact"/>
        <w:numPr>
          <w:ilvl w:val="0"/>
          <w:numId w:val="1002"/>
        </w:numPr>
      </w:pPr>
      <w:r>
        <w:t xml:space="preserve">A negative gate is a model-level negative prediction under the biconditional, not a direct observation of absent experience.</w:t>
      </w:r>
    </w:p>
    <w:bookmarkEnd w:id="12"/>
    <w:bookmarkEnd w:id="13"/>
    <w:bookmarkStart w:id="15" w:name="X41a50de3247aba8a978de4bbfd25fa20be33f99"/>
    <w:p>
      <w:pPr>
        <w:pStyle w:val="Heading2"/>
      </w:pPr>
      <w:r>
        <w:t xml:space="preserve">Session 1 Resource. Target Sorting and Inference Control</w:t>
      </w:r>
    </w:p>
    <w:bookmarkStart w:id="14" w:name="student-materials"/>
    <w:p>
      <w:pPr>
        <w:pStyle w:val="Heading3"/>
      </w:pPr>
      <w:r>
        <w:t xml:space="preserve">Student Materials</w:t>
      </w:r>
    </w:p>
    <w:p>
      <w:pPr>
        <w:pStyle w:val="FirstParagraph"/>
      </w:pPr>
      <w:r>
        <w:rPr>
          <w:b/>
          <w:bCs/>
        </w:rPr>
        <w:t xml:space="preserve">Core.</w:t>
      </w:r>
      <w:r>
        <w:t xml:space="preserve"> </w:t>
      </w:r>
      <w:r>
        <w:t xml:space="preserve">Sort Cards 1-6.</w:t>
      </w:r>
      <w:r>
        <w:t xml:space="preserve"> </w:t>
      </w:r>
      <w:r>
        <w:rPr>
          <w:b/>
          <w:bCs/>
        </w:rPr>
        <w:t xml:space="preserve">Extension.</w:t>
      </w:r>
      <w:r>
        <w:t xml:space="preserve"> </w:t>
      </w:r>
      <w:r>
        <w:t xml:space="preserve">Add Cards 7-8 and one student-authored mixed-target card.</w:t>
      </w:r>
    </w:p>
    <w:p>
      <w:pPr>
        <w:pStyle w:val="BodyText"/>
      </w:pPr>
      <w:r>
        <w:t xml:space="preserve">Target columns: wakefulness; minimal phenomenal presence</w:t>
      </w:r>
      <w:r>
        <w:t xml:space="preserve"> </w:t>
      </w:r>
      <m:oMath>
        <m:sSub>
          <m:e>
            <m:r>
              <m:t>C</m:t>
            </m:r>
          </m:e>
          <m:sub>
            <m:r>
              <m:t>0</m:t>
            </m:r>
          </m:sub>
        </m:sSub>
      </m:oMath>
      <w:r>
        <w:t xml:space="preserve">; content presence; access or task use; reflective or metacognitive consciousness</w:t>
      </w:r>
      <w:r>
        <w:t xml:space="preserve"> </w:t>
      </w:r>
      <m:oMath>
        <m:sSub>
          <m:e>
            <m:r>
              <m:t>C</m:t>
            </m:r>
          </m:e>
          <m:sub>
            <m:r>
              <m:t>1</m:t>
            </m:r>
          </m:sub>
        </m:sSub>
      </m:oMath>
      <w:r>
        <w:t xml:space="preserve">; phenomenal character.</w:t>
      </w:r>
    </w:p>
    <w:p>
      <w:pPr>
        <w:pStyle w:val="BodyText"/>
      </w:pPr>
      <w:r>
        <w:t xml:space="preserve">For each card record: most direct target, possible relevance to</w:t>
      </w:r>
      <w:r>
        <w:t xml:space="preserve"> </w:t>
      </w:r>
      <m:oMath>
        <m:sSub>
          <m:e>
            <m:r>
              <m:t>C</m:t>
            </m:r>
          </m:e>
          <m:sub>
            <m:r>
              <m:t>0</m:t>
            </m:r>
          </m:sub>
        </m:sSub>
      </m:oMath>
      <w:r>
        <w:t xml:space="preserve">, required bridge, strongest alternative explanation, strongest licensed conclusion, and one forbidden stronger inference.</w:t>
      </w:r>
    </w:p>
    <w:p>
      <w:pPr>
        <w:pStyle w:val="Compact"/>
        <w:numPr>
          <w:ilvl w:val="0"/>
          <w:numId w:val="1003"/>
        </w:numPr>
      </w:pPr>
      <w:r>
        <w:rPr>
          <w:b/>
          <w:bCs/>
        </w:rPr>
        <w:t xml:space="preserve">Synthetic Card 1 - covert command following.</w:t>
      </w:r>
      <w:r>
        <w:t xml:space="preserve"> </w:t>
      </w:r>
      <w:r>
        <w:t xml:space="preserve">A behaviorally unresponsive patient modulates imagery-related activity on two preregistered command trials. Hearing, comprehension, and artifact checks pass.</w:t>
      </w:r>
    </w:p>
    <w:p>
      <w:pPr>
        <w:pStyle w:val="Compact"/>
        <w:numPr>
          <w:ilvl w:val="0"/>
          <w:numId w:val="1003"/>
        </w:numPr>
      </w:pPr>
      <w:r>
        <w:rPr>
          <w:b/>
          <w:bCs/>
        </w:rPr>
        <w:t xml:space="preserve">Synthetic Card 2 - early decoding.</w:t>
      </w:r>
      <w:r>
        <w:t xml:space="preserve"> </w:t>
      </w:r>
      <w:r>
        <w:t xml:space="preserve">Stimulus identity is decoded from early visual activity at 80 ms. No perturbation or downstream-use test was performed.</w:t>
      </w:r>
    </w:p>
    <w:p>
      <w:pPr>
        <w:pStyle w:val="Compact"/>
        <w:numPr>
          <w:ilvl w:val="0"/>
          <w:numId w:val="1003"/>
        </w:numPr>
      </w:pPr>
      <w:r>
        <w:rPr>
          <w:b/>
          <w:bCs/>
        </w:rPr>
        <w:t xml:space="preserve">Synthetic Card 3 - pain report.</w:t>
      </w:r>
      <w:r>
        <w:t xml:space="preserve"> </w:t>
      </w:r>
      <w:r>
        <w:t xml:space="preserve">A participant says,</w:t>
      </w:r>
      <w:r>
        <w:t xml:space="preserve"> </w:t>
      </w:r>
      <w:r>
        <w:t xml:space="preserve">“The pain is sharp, unpleasant, and spreading.”</w:t>
      </w:r>
    </w:p>
    <w:p>
      <w:pPr>
        <w:pStyle w:val="Compact"/>
        <w:numPr>
          <w:ilvl w:val="0"/>
          <w:numId w:val="1003"/>
        </w:numPr>
      </w:pPr>
      <w:r>
        <w:rPr>
          <w:b/>
          <w:bCs/>
        </w:rPr>
        <w:t xml:space="preserve">Synthetic Card 4 - recurrent loop.</w:t>
      </w:r>
      <w:r>
        <w:t xml:space="preserve"> </w:t>
      </w:r>
      <w:r>
        <w:t xml:space="preserve">A content-specific recurrent loop persists for 250 ms in an isolated sensory module.</w:t>
      </w:r>
    </w:p>
    <w:p>
      <w:pPr>
        <w:pStyle w:val="Compact"/>
        <w:numPr>
          <w:ilvl w:val="0"/>
          <w:numId w:val="1003"/>
        </w:numPr>
      </w:pPr>
      <w:r>
        <w:rPr>
          <w:b/>
          <w:bCs/>
        </w:rPr>
        <w:t xml:space="preserve">Synthetic Card 5 - uncertainty model.</w:t>
      </w:r>
      <w:r>
        <w:t xml:space="preserve"> </w:t>
      </w:r>
      <w:r>
        <w:t xml:space="preserve">An artificial agent represents and reports calibrated uncertainty about its own decisions.</w:t>
      </w:r>
    </w:p>
    <w:p>
      <w:pPr>
        <w:pStyle w:val="Compact"/>
        <w:numPr>
          <w:ilvl w:val="0"/>
          <w:numId w:val="1003"/>
        </w:numPr>
      </w:pPr>
      <w:r>
        <w:rPr>
          <w:b/>
          <w:bCs/>
        </w:rPr>
        <w:t xml:space="preserve">Synthetic Card 6 - wakeful nonresponse.</w:t>
      </w:r>
      <w:r>
        <w:t xml:space="preserve"> </w:t>
      </w:r>
      <w:r>
        <w:t xml:space="preserve">A patient has sustained eye opening and sleep-wake cycles but produces no reliable command response.</w:t>
      </w:r>
    </w:p>
    <w:p>
      <w:pPr>
        <w:pStyle w:val="Compact"/>
        <w:numPr>
          <w:ilvl w:val="0"/>
          <w:numId w:val="1003"/>
        </w:numPr>
      </w:pPr>
      <w:r>
        <w:rPr>
          <w:b/>
          <w:bCs/>
        </w:rPr>
        <w:t xml:space="preserve">Synthetic Card 7 - blindsight-like choice.</w:t>
      </w:r>
      <w:r>
        <w:t xml:space="preserve"> </w:t>
      </w:r>
      <w:r>
        <w:t xml:space="preserve">A participant denies seeing a target but chooses its location at 78 percent accuracy under forced choice.</w:t>
      </w:r>
    </w:p>
    <w:p>
      <w:pPr>
        <w:pStyle w:val="Compact"/>
        <w:numPr>
          <w:ilvl w:val="0"/>
          <w:numId w:val="1003"/>
        </w:numPr>
      </w:pPr>
      <w:r>
        <w:rPr>
          <w:b/>
          <w:bCs/>
        </w:rPr>
        <w:t xml:space="preserve">Synthetic Card 8 - affective withdrawal.</w:t>
      </w:r>
      <w:r>
        <w:t xml:space="preserve"> </w:t>
      </w:r>
      <w:r>
        <w:t xml:space="preserve">A nonverbal animal withdraws selectively from one noxious stimulus and later avoids its location; sensory and motor controls pass.</w:t>
      </w:r>
      <w:r>
        <w:t xml:space="preserve"> </w:t>
      </w:r>
      <w:r>
        <w:t xml:space="preserve">Use one row per assigned card:</w:t>
      </w:r>
    </w:p>
    <w:tbl>
      <w:tblPr>
        <w:tblStyle w:val="Table"/>
        <w:tblW w:type="dxa" w:w="9994"/>
        <w:jc w:val="center"/>
        <w:tblLayout w:type="fixed"/>
        <w:tblLook w:firstRow="1" w:lastRow="0" w:firstColumn="0" w:lastColumn="0" w:noHBand="0" w:noVBand="0" w:val="0020"/>
      </w:tblPr>
      <w:tblGrid>
        <w:gridCol w:w="800"/>
        <w:gridCol w:w="1299"/>
        <w:gridCol w:w="1399"/>
        <w:gridCol w:w="1299"/>
        <w:gridCol w:w="1599"/>
        <w:gridCol w:w="1499"/>
        <w:gridCol w:w="2099"/>
      </w:tblGrid>
      <w:tr>
        <w:trPr>
          <w:tblHeader w:val="on"/>
          <w:cantSplit/>
        </w:trPr>
        <w:tc>
          <w:tcPr>
            <w:tcW w:w="800" w:type="dxa"/>
            <w:vAlign w:val="center"/>
            <w:tcMar>
              <w:top w:w="70" w:type="dxa"/>
              <w:bottom w:w="70" w:type="dxa"/>
              <w:start w:w="85" w:type="dxa"/>
              <w:end w:w="85" w:type="dxa"/>
            </w:tcMar>
            <w:shd w:fill="1B344C" w:val="clear"/>
          </w:tcPr>
          <w:p>
            <w:pPr>
              <w:pStyle w:val="Compact"/>
              <w:spacing w:before="0" w:after="40" w:line="240" w:lineRule="auto"/>
              <w:jc w:val="right"/>
            </w:pPr>
            <w:r>
              <w:rPr>
                <w:rFonts w:ascii="Liberation Sans" w:hAnsi="Liberation Sans" w:eastAsia="Liberation Sans" w:cs="Liberation Sans"/>
                <w:b/>
                <w:color w:val="FFFFFF"/>
                <w:sz w:val="18"/>
              </w:rPr>
              <w:t xml:space="preserve">Card</w:t>
            </w:r>
          </w:p>
        </w:tc>
        <w:tc>
          <w:tcPr>
            <w:tcW w:w="12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Most direct target</w:t>
            </w:r>
          </w:p>
        </w:tc>
        <w:tc>
          <w:tcPr>
            <w:tcW w:w="13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Possible relevance to</w:t>
            </w:r>
            <w:r>
              <w:rPr>
                <w:rFonts w:ascii="Liberation Sans" w:hAnsi="Liberation Sans" w:eastAsia="Liberation Sans" w:cs="Liberation Sans"/>
                <w:b/>
                <w:color w:val="FFFFFF"/>
                <w:sz w:val="18"/>
              </w:rPr>
              <w:t xml:space="preserve"> </w:t>
            </w:r>
            <w:r>
              <w:rPr>
                <w:rFonts w:ascii="Liberation Sans" w:hAnsi="Liberation Sans" w:eastAsia="Liberation Sans" w:cs="Liberation Sans"/>
                <w:b/>
                <w:color w:val="FFFFFF"/>
                <w:sz w:val="18"/>
              </w:rPr>
              <w:t>C₀</w:t>
            </w:r>
          </w:p>
        </w:tc>
        <w:tc>
          <w:tcPr>
            <w:tcW w:w="12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Required bridge</w:t>
            </w:r>
          </w:p>
        </w:tc>
        <w:tc>
          <w:tcPr>
            <w:tcW w:w="15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Strongest alternative</w:t>
            </w:r>
          </w:p>
        </w:tc>
        <w:tc>
          <w:tcPr>
            <w:tcW w:w="14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Licensed conclusion</w:t>
            </w:r>
          </w:p>
        </w:tc>
        <w:tc>
          <w:tcPr>
            <w:tcW w:w="20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Forbidden stronger inference</w:t>
            </w:r>
          </w:p>
        </w:tc>
      </w:tr>
      <w:tr>
        <w:trPr>
          <w:cantSplit/>
        </w:trPr>
        <w:tc>
          <w:tcPr>
            <w:tcW w:w="800" w:type="dxa"/>
            <w:vAlign w:val="center"/>
            <w:tcMar>
              <w:top w:w="70" w:type="dxa"/>
              <w:bottom w:w="70" w:type="dxa"/>
              <w:start w:w="85" w:type="dxa"/>
              <w:end w:w="85" w:type="dxa"/>
            </w:tcMar>
            <w:shd w:fill="FFFFFF" w:val="clear"/>
          </w:tcPr>
          <w:p>
            <w:pPr>
              <w:pStyle w:val="Compact"/>
              <w:spacing w:before="0" w:after="40" w:line="240" w:lineRule="auto"/>
            </w:pPr>
          </w:p>
        </w:tc>
        <w:tc>
          <w:tcPr>
            <w:tcW w:w="1299" w:type="dxa"/>
            <w:vAlign w:val="center"/>
            <w:tcMar>
              <w:top w:w="70" w:type="dxa"/>
              <w:bottom w:w="70" w:type="dxa"/>
              <w:start w:w="85" w:type="dxa"/>
              <w:end w:w="85" w:type="dxa"/>
            </w:tcMar>
            <w:shd w:fill="FFFFFF" w:val="clear"/>
          </w:tcPr>
          <w:p>
            <w:pPr>
              <w:pStyle w:val="Compact"/>
              <w:spacing w:before="0" w:after="40" w:line="240" w:lineRule="auto"/>
            </w:pPr>
          </w:p>
        </w:tc>
        <w:tc>
          <w:tcPr>
            <w:tcW w:w="1399" w:type="dxa"/>
            <w:vAlign w:val="center"/>
            <w:tcMar>
              <w:top w:w="70" w:type="dxa"/>
              <w:bottom w:w="70" w:type="dxa"/>
              <w:start w:w="85" w:type="dxa"/>
              <w:end w:w="85" w:type="dxa"/>
            </w:tcMar>
            <w:shd w:fill="FFFFFF" w:val="clear"/>
          </w:tcPr>
          <w:p>
            <w:pPr>
              <w:pStyle w:val="Compact"/>
              <w:spacing w:before="0" w:after="40" w:line="240" w:lineRule="auto"/>
            </w:pPr>
          </w:p>
        </w:tc>
        <w:tc>
          <w:tcPr>
            <w:tcW w:w="1299" w:type="dxa"/>
            <w:vAlign w:val="center"/>
            <w:tcMar>
              <w:top w:w="70" w:type="dxa"/>
              <w:bottom w:w="70" w:type="dxa"/>
              <w:start w:w="85" w:type="dxa"/>
              <w:end w:w="85" w:type="dxa"/>
            </w:tcMar>
            <w:shd w:fill="FFFFFF" w:val="clear"/>
          </w:tcPr>
          <w:p>
            <w:pPr>
              <w:pStyle w:val="Compact"/>
              <w:spacing w:before="0" w:after="40" w:line="240" w:lineRule="auto"/>
            </w:pPr>
          </w:p>
        </w:tc>
        <w:tc>
          <w:tcPr>
            <w:tcW w:w="1599" w:type="dxa"/>
            <w:vAlign w:val="center"/>
            <w:tcMar>
              <w:top w:w="70" w:type="dxa"/>
              <w:bottom w:w="70" w:type="dxa"/>
              <w:start w:w="85" w:type="dxa"/>
              <w:end w:w="85" w:type="dxa"/>
            </w:tcMar>
            <w:shd w:fill="FFFFFF" w:val="clear"/>
          </w:tcPr>
          <w:p>
            <w:pPr>
              <w:pStyle w:val="Compact"/>
              <w:spacing w:before="0" w:after="40" w:line="240" w:lineRule="auto"/>
            </w:pPr>
          </w:p>
        </w:tc>
        <w:tc>
          <w:tcPr>
            <w:tcW w:w="1499" w:type="dxa"/>
            <w:vAlign w:val="center"/>
            <w:tcMar>
              <w:top w:w="70" w:type="dxa"/>
              <w:bottom w:w="70" w:type="dxa"/>
              <w:start w:w="85" w:type="dxa"/>
              <w:end w:w="85" w:type="dxa"/>
            </w:tcMar>
            <w:shd w:fill="FFFFFF" w:val="clear"/>
          </w:tcPr>
          <w:p>
            <w:pPr>
              <w:pStyle w:val="Compact"/>
              <w:spacing w:before="0" w:after="40" w:line="240" w:lineRule="auto"/>
            </w:pPr>
          </w:p>
        </w:tc>
        <w:tc>
          <w:tcPr>
            <w:tcW w:w="2099" w:type="dxa"/>
            <w:vAlign w:val="center"/>
            <w:tcMar>
              <w:top w:w="70" w:type="dxa"/>
              <w:bottom w:w="70" w:type="dxa"/>
              <w:start w:w="85" w:type="dxa"/>
              <w:end w:w="85" w:type="dxa"/>
            </w:tcMar>
            <w:shd w:fill="FFFFFF" w:val="clear"/>
          </w:tcPr>
          <w:p>
            <w:pPr>
              <w:pStyle w:val="Compact"/>
              <w:spacing w:before="0" w:after="40" w:line="240" w:lineRule="auto"/>
            </w:pPr>
          </w:p>
        </w:tc>
      </w:tr>
      <w:tr>
        <w:trPr>
          <w:cantSplit/>
        </w:trPr>
        <w:tc>
          <w:tcPr>
            <w:tcW w:w="800" w:type="dxa"/>
            <w:vAlign w:val="center"/>
            <w:tcMar>
              <w:top w:w="70" w:type="dxa"/>
              <w:bottom w:w="70" w:type="dxa"/>
              <w:start w:w="85" w:type="dxa"/>
              <w:end w:w="85" w:type="dxa"/>
            </w:tcMar>
            <w:shd w:fill="F4F6F7" w:val="clear"/>
          </w:tcPr>
          <w:p>
            <w:pPr>
              <w:pStyle w:val="Compact"/>
              <w:spacing w:before="0" w:after="40" w:line="240" w:lineRule="auto"/>
            </w:pPr>
          </w:p>
        </w:tc>
        <w:tc>
          <w:tcPr>
            <w:tcW w:w="1299" w:type="dxa"/>
            <w:vAlign w:val="center"/>
            <w:tcMar>
              <w:top w:w="70" w:type="dxa"/>
              <w:bottom w:w="70" w:type="dxa"/>
              <w:start w:w="85" w:type="dxa"/>
              <w:end w:w="85" w:type="dxa"/>
            </w:tcMar>
            <w:shd w:fill="F4F6F7" w:val="clear"/>
          </w:tcPr>
          <w:p>
            <w:pPr>
              <w:pStyle w:val="Compact"/>
              <w:spacing w:before="0" w:after="40" w:line="240" w:lineRule="auto"/>
            </w:pPr>
          </w:p>
        </w:tc>
        <w:tc>
          <w:tcPr>
            <w:tcW w:w="1399" w:type="dxa"/>
            <w:vAlign w:val="center"/>
            <w:tcMar>
              <w:top w:w="70" w:type="dxa"/>
              <w:bottom w:w="70" w:type="dxa"/>
              <w:start w:w="85" w:type="dxa"/>
              <w:end w:w="85" w:type="dxa"/>
            </w:tcMar>
            <w:shd w:fill="F4F6F7" w:val="clear"/>
          </w:tcPr>
          <w:p>
            <w:pPr>
              <w:pStyle w:val="Compact"/>
              <w:spacing w:before="0" w:after="40" w:line="240" w:lineRule="auto"/>
            </w:pPr>
          </w:p>
        </w:tc>
        <w:tc>
          <w:tcPr>
            <w:tcW w:w="1299" w:type="dxa"/>
            <w:vAlign w:val="center"/>
            <w:tcMar>
              <w:top w:w="70" w:type="dxa"/>
              <w:bottom w:w="70" w:type="dxa"/>
              <w:start w:w="85" w:type="dxa"/>
              <w:end w:w="85" w:type="dxa"/>
            </w:tcMar>
            <w:shd w:fill="F4F6F7" w:val="clear"/>
          </w:tcPr>
          <w:p>
            <w:pPr>
              <w:pStyle w:val="Compact"/>
              <w:spacing w:before="0" w:after="40" w:line="240" w:lineRule="auto"/>
            </w:pPr>
          </w:p>
        </w:tc>
        <w:tc>
          <w:tcPr>
            <w:tcW w:w="1599" w:type="dxa"/>
            <w:vAlign w:val="center"/>
            <w:tcMar>
              <w:top w:w="70" w:type="dxa"/>
              <w:bottom w:w="70" w:type="dxa"/>
              <w:start w:w="85" w:type="dxa"/>
              <w:end w:w="85" w:type="dxa"/>
            </w:tcMar>
            <w:shd w:fill="F4F6F7" w:val="clear"/>
          </w:tcPr>
          <w:p>
            <w:pPr>
              <w:pStyle w:val="Compact"/>
              <w:spacing w:before="0" w:after="40" w:line="240" w:lineRule="auto"/>
            </w:pPr>
          </w:p>
        </w:tc>
        <w:tc>
          <w:tcPr>
            <w:tcW w:w="1499" w:type="dxa"/>
            <w:vAlign w:val="center"/>
            <w:tcMar>
              <w:top w:w="70" w:type="dxa"/>
              <w:bottom w:w="70" w:type="dxa"/>
              <w:start w:w="85" w:type="dxa"/>
              <w:end w:w="85" w:type="dxa"/>
            </w:tcMar>
            <w:shd w:fill="F4F6F7" w:val="clear"/>
          </w:tcPr>
          <w:p>
            <w:pPr>
              <w:pStyle w:val="Compact"/>
              <w:spacing w:before="0" w:after="40" w:line="240" w:lineRule="auto"/>
            </w:pPr>
          </w:p>
        </w:tc>
        <w:tc>
          <w:tcPr>
            <w:tcW w:w="2099" w:type="dxa"/>
            <w:vAlign w:val="center"/>
            <w:tcMar>
              <w:top w:w="70" w:type="dxa"/>
              <w:bottom w:w="70" w:type="dxa"/>
              <w:start w:w="85" w:type="dxa"/>
              <w:end w:w="85" w:type="dxa"/>
            </w:tcMar>
            <w:shd w:fill="F4F6F7" w:val="clear"/>
          </w:tcPr>
          <w:p>
            <w:pPr>
              <w:pStyle w:val="Compact"/>
              <w:spacing w:before="0" w:after="40" w:line="240" w:lineRule="auto"/>
            </w:pPr>
          </w:p>
        </w:tc>
      </w:tr>
      <w:tr>
        <w:trPr>
          <w:cantSplit/>
        </w:trPr>
        <w:tc>
          <w:tcPr>
            <w:tcW w:w="800" w:type="dxa"/>
            <w:vAlign w:val="center"/>
            <w:tcMar>
              <w:top w:w="70" w:type="dxa"/>
              <w:bottom w:w="70" w:type="dxa"/>
              <w:start w:w="85" w:type="dxa"/>
              <w:end w:w="85" w:type="dxa"/>
            </w:tcMar>
            <w:shd w:fill="FFFFFF" w:val="clear"/>
          </w:tcPr>
          <w:p>
            <w:pPr>
              <w:pStyle w:val="Compact"/>
              <w:spacing w:before="0" w:after="40" w:line="240" w:lineRule="auto"/>
            </w:pPr>
          </w:p>
        </w:tc>
        <w:tc>
          <w:tcPr>
            <w:tcW w:w="1299" w:type="dxa"/>
            <w:vAlign w:val="center"/>
            <w:tcMar>
              <w:top w:w="70" w:type="dxa"/>
              <w:bottom w:w="70" w:type="dxa"/>
              <w:start w:w="85" w:type="dxa"/>
              <w:end w:w="85" w:type="dxa"/>
            </w:tcMar>
            <w:shd w:fill="FFFFFF" w:val="clear"/>
          </w:tcPr>
          <w:p>
            <w:pPr>
              <w:pStyle w:val="Compact"/>
              <w:spacing w:before="0" w:after="40" w:line="240" w:lineRule="auto"/>
            </w:pPr>
          </w:p>
        </w:tc>
        <w:tc>
          <w:tcPr>
            <w:tcW w:w="1399" w:type="dxa"/>
            <w:vAlign w:val="center"/>
            <w:tcMar>
              <w:top w:w="70" w:type="dxa"/>
              <w:bottom w:w="70" w:type="dxa"/>
              <w:start w:w="85" w:type="dxa"/>
              <w:end w:w="85" w:type="dxa"/>
            </w:tcMar>
            <w:shd w:fill="FFFFFF" w:val="clear"/>
          </w:tcPr>
          <w:p>
            <w:pPr>
              <w:pStyle w:val="Compact"/>
              <w:spacing w:before="0" w:after="40" w:line="240" w:lineRule="auto"/>
            </w:pPr>
          </w:p>
        </w:tc>
        <w:tc>
          <w:tcPr>
            <w:tcW w:w="1299" w:type="dxa"/>
            <w:vAlign w:val="center"/>
            <w:tcMar>
              <w:top w:w="70" w:type="dxa"/>
              <w:bottom w:w="70" w:type="dxa"/>
              <w:start w:w="85" w:type="dxa"/>
              <w:end w:w="85" w:type="dxa"/>
            </w:tcMar>
            <w:shd w:fill="FFFFFF" w:val="clear"/>
          </w:tcPr>
          <w:p>
            <w:pPr>
              <w:pStyle w:val="Compact"/>
              <w:spacing w:before="0" w:after="40" w:line="240" w:lineRule="auto"/>
            </w:pPr>
          </w:p>
        </w:tc>
        <w:tc>
          <w:tcPr>
            <w:tcW w:w="1599" w:type="dxa"/>
            <w:vAlign w:val="center"/>
            <w:tcMar>
              <w:top w:w="70" w:type="dxa"/>
              <w:bottom w:w="70" w:type="dxa"/>
              <w:start w:w="85" w:type="dxa"/>
              <w:end w:w="85" w:type="dxa"/>
            </w:tcMar>
            <w:shd w:fill="FFFFFF" w:val="clear"/>
          </w:tcPr>
          <w:p>
            <w:pPr>
              <w:pStyle w:val="Compact"/>
              <w:spacing w:before="0" w:after="40" w:line="240" w:lineRule="auto"/>
            </w:pPr>
          </w:p>
        </w:tc>
        <w:tc>
          <w:tcPr>
            <w:tcW w:w="1499" w:type="dxa"/>
            <w:vAlign w:val="center"/>
            <w:tcMar>
              <w:top w:w="70" w:type="dxa"/>
              <w:bottom w:w="70" w:type="dxa"/>
              <w:start w:w="85" w:type="dxa"/>
              <w:end w:w="85" w:type="dxa"/>
            </w:tcMar>
            <w:shd w:fill="FFFFFF" w:val="clear"/>
          </w:tcPr>
          <w:p>
            <w:pPr>
              <w:pStyle w:val="Compact"/>
              <w:spacing w:before="0" w:after="40" w:line="240" w:lineRule="auto"/>
            </w:pPr>
          </w:p>
        </w:tc>
        <w:tc>
          <w:tcPr>
            <w:tcW w:w="2099" w:type="dxa"/>
            <w:vAlign w:val="center"/>
            <w:tcMar>
              <w:top w:w="70" w:type="dxa"/>
              <w:bottom w:w="70" w:type="dxa"/>
              <w:start w:w="85" w:type="dxa"/>
              <w:end w:w="85" w:type="dxa"/>
            </w:tcMar>
            <w:shd w:fill="FFFFFF" w:val="clear"/>
          </w:tcPr>
          <w:p>
            <w:pPr>
              <w:pStyle w:val="Compact"/>
              <w:spacing w:before="0" w:after="40" w:line="240" w:lineRule="auto"/>
            </w:pPr>
          </w:p>
        </w:tc>
      </w:tr>
      <w:tr>
        <w:trPr>
          <w:cantSplit/>
        </w:trPr>
        <w:tc>
          <w:tcPr>
            <w:tcW w:w="800" w:type="dxa"/>
            <w:vAlign w:val="center"/>
            <w:tcMar>
              <w:top w:w="70" w:type="dxa"/>
              <w:bottom w:w="70" w:type="dxa"/>
              <w:start w:w="85" w:type="dxa"/>
              <w:end w:w="85" w:type="dxa"/>
            </w:tcMar>
            <w:shd w:fill="F4F6F7" w:val="clear"/>
          </w:tcPr>
          <w:p>
            <w:pPr>
              <w:pStyle w:val="Compact"/>
              <w:spacing w:before="0" w:after="40" w:line="240" w:lineRule="auto"/>
            </w:pPr>
          </w:p>
        </w:tc>
        <w:tc>
          <w:tcPr>
            <w:tcW w:w="1299" w:type="dxa"/>
            <w:vAlign w:val="center"/>
            <w:tcMar>
              <w:top w:w="70" w:type="dxa"/>
              <w:bottom w:w="70" w:type="dxa"/>
              <w:start w:w="85" w:type="dxa"/>
              <w:end w:w="85" w:type="dxa"/>
            </w:tcMar>
            <w:shd w:fill="F4F6F7" w:val="clear"/>
          </w:tcPr>
          <w:p>
            <w:pPr>
              <w:pStyle w:val="Compact"/>
              <w:spacing w:before="0" w:after="40" w:line="240" w:lineRule="auto"/>
            </w:pPr>
          </w:p>
        </w:tc>
        <w:tc>
          <w:tcPr>
            <w:tcW w:w="1399" w:type="dxa"/>
            <w:vAlign w:val="center"/>
            <w:tcMar>
              <w:top w:w="70" w:type="dxa"/>
              <w:bottom w:w="70" w:type="dxa"/>
              <w:start w:w="85" w:type="dxa"/>
              <w:end w:w="85" w:type="dxa"/>
            </w:tcMar>
            <w:shd w:fill="F4F6F7" w:val="clear"/>
          </w:tcPr>
          <w:p>
            <w:pPr>
              <w:pStyle w:val="Compact"/>
              <w:spacing w:before="0" w:after="40" w:line="240" w:lineRule="auto"/>
            </w:pPr>
          </w:p>
        </w:tc>
        <w:tc>
          <w:tcPr>
            <w:tcW w:w="1299" w:type="dxa"/>
            <w:vAlign w:val="center"/>
            <w:tcMar>
              <w:top w:w="70" w:type="dxa"/>
              <w:bottom w:w="70" w:type="dxa"/>
              <w:start w:w="85" w:type="dxa"/>
              <w:end w:w="85" w:type="dxa"/>
            </w:tcMar>
            <w:shd w:fill="F4F6F7" w:val="clear"/>
          </w:tcPr>
          <w:p>
            <w:pPr>
              <w:pStyle w:val="Compact"/>
              <w:spacing w:before="0" w:after="40" w:line="240" w:lineRule="auto"/>
            </w:pPr>
          </w:p>
        </w:tc>
        <w:tc>
          <w:tcPr>
            <w:tcW w:w="1599" w:type="dxa"/>
            <w:vAlign w:val="center"/>
            <w:tcMar>
              <w:top w:w="70" w:type="dxa"/>
              <w:bottom w:w="70" w:type="dxa"/>
              <w:start w:w="85" w:type="dxa"/>
              <w:end w:w="85" w:type="dxa"/>
            </w:tcMar>
            <w:shd w:fill="F4F6F7" w:val="clear"/>
          </w:tcPr>
          <w:p>
            <w:pPr>
              <w:pStyle w:val="Compact"/>
              <w:spacing w:before="0" w:after="40" w:line="240" w:lineRule="auto"/>
            </w:pPr>
          </w:p>
        </w:tc>
        <w:tc>
          <w:tcPr>
            <w:tcW w:w="1499" w:type="dxa"/>
            <w:vAlign w:val="center"/>
            <w:tcMar>
              <w:top w:w="70" w:type="dxa"/>
              <w:bottom w:w="70" w:type="dxa"/>
              <w:start w:w="85" w:type="dxa"/>
              <w:end w:w="85" w:type="dxa"/>
            </w:tcMar>
            <w:shd w:fill="F4F6F7" w:val="clear"/>
          </w:tcPr>
          <w:p>
            <w:pPr>
              <w:pStyle w:val="Compact"/>
              <w:spacing w:before="0" w:after="40" w:line="240" w:lineRule="auto"/>
            </w:pPr>
          </w:p>
        </w:tc>
        <w:tc>
          <w:tcPr>
            <w:tcW w:w="2099" w:type="dxa"/>
            <w:vAlign w:val="center"/>
            <w:tcMar>
              <w:top w:w="70" w:type="dxa"/>
              <w:bottom w:w="70" w:type="dxa"/>
              <w:start w:w="85" w:type="dxa"/>
              <w:end w:w="85" w:type="dxa"/>
            </w:tcMar>
            <w:shd w:fill="F4F6F7" w:val="clear"/>
          </w:tcPr>
          <w:p>
            <w:pPr>
              <w:pStyle w:val="Compact"/>
              <w:spacing w:before="0" w:after="40" w:line="240" w:lineRule="auto"/>
            </w:pPr>
          </w:p>
        </w:tc>
      </w:tr>
      <w:tr>
        <w:trPr>
          <w:cantSplit/>
        </w:trPr>
        <w:tc>
          <w:tcPr>
            <w:tcW w:w="800" w:type="dxa"/>
            <w:vAlign w:val="center"/>
            <w:tcMar>
              <w:top w:w="70" w:type="dxa"/>
              <w:bottom w:w="70" w:type="dxa"/>
              <w:start w:w="85" w:type="dxa"/>
              <w:end w:w="85" w:type="dxa"/>
            </w:tcMar>
            <w:shd w:fill="FFFFFF" w:val="clear"/>
          </w:tcPr>
          <w:p>
            <w:pPr>
              <w:pStyle w:val="Compact"/>
              <w:spacing w:before="0" w:after="40" w:line="240" w:lineRule="auto"/>
            </w:pPr>
          </w:p>
        </w:tc>
        <w:tc>
          <w:tcPr>
            <w:tcW w:w="1299" w:type="dxa"/>
            <w:vAlign w:val="center"/>
            <w:tcMar>
              <w:top w:w="70" w:type="dxa"/>
              <w:bottom w:w="70" w:type="dxa"/>
              <w:start w:w="85" w:type="dxa"/>
              <w:end w:w="85" w:type="dxa"/>
            </w:tcMar>
            <w:shd w:fill="FFFFFF" w:val="clear"/>
          </w:tcPr>
          <w:p>
            <w:pPr>
              <w:pStyle w:val="Compact"/>
              <w:spacing w:before="0" w:after="40" w:line="240" w:lineRule="auto"/>
            </w:pPr>
          </w:p>
        </w:tc>
        <w:tc>
          <w:tcPr>
            <w:tcW w:w="1399" w:type="dxa"/>
            <w:vAlign w:val="center"/>
            <w:tcMar>
              <w:top w:w="70" w:type="dxa"/>
              <w:bottom w:w="70" w:type="dxa"/>
              <w:start w:w="85" w:type="dxa"/>
              <w:end w:w="85" w:type="dxa"/>
            </w:tcMar>
            <w:shd w:fill="FFFFFF" w:val="clear"/>
          </w:tcPr>
          <w:p>
            <w:pPr>
              <w:pStyle w:val="Compact"/>
              <w:spacing w:before="0" w:after="40" w:line="240" w:lineRule="auto"/>
            </w:pPr>
          </w:p>
        </w:tc>
        <w:tc>
          <w:tcPr>
            <w:tcW w:w="1299" w:type="dxa"/>
            <w:vAlign w:val="center"/>
            <w:tcMar>
              <w:top w:w="70" w:type="dxa"/>
              <w:bottom w:w="70" w:type="dxa"/>
              <w:start w:w="85" w:type="dxa"/>
              <w:end w:w="85" w:type="dxa"/>
            </w:tcMar>
            <w:shd w:fill="FFFFFF" w:val="clear"/>
          </w:tcPr>
          <w:p>
            <w:pPr>
              <w:pStyle w:val="Compact"/>
              <w:spacing w:before="0" w:after="40" w:line="240" w:lineRule="auto"/>
            </w:pPr>
          </w:p>
        </w:tc>
        <w:tc>
          <w:tcPr>
            <w:tcW w:w="1599" w:type="dxa"/>
            <w:vAlign w:val="center"/>
            <w:tcMar>
              <w:top w:w="70" w:type="dxa"/>
              <w:bottom w:w="70" w:type="dxa"/>
              <w:start w:w="85" w:type="dxa"/>
              <w:end w:w="85" w:type="dxa"/>
            </w:tcMar>
            <w:shd w:fill="FFFFFF" w:val="clear"/>
          </w:tcPr>
          <w:p>
            <w:pPr>
              <w:pStyle w:val="Compact"/>
              <w:spacing w:before="0" w:after="40" w:line="240" w:lineRule="auto"/>
            </w:pPr>
          </w:p>
        </w:tc>
        <w:tc>
          <w:tcPr>
            <w:tcW w:w="1499" w:type="dxa"/>
            <w:vAlign w:val="center"/>
            <w:tcMar>
              <w:top w:w="70" w:type="dxa"/>
              <w:bottom w:w="70" w:type="dxa"/>
              <w:start w:w="85" w:type="dxa"/>
              <w:end w:w="85" w:type="dxa"/>
            </w:tcMar>
            <w:shd w:fill="FFFFFF" w:val="clear"/>
          </w:tcPr>
          <w:p>
            <w:pPr>
              <w:pStyle w:val="Compact"/>
              <w:spacing w:before="0" w:after="40" w:line="240" w:lineRule="auto"/>
            </w:pPr>
          </w:p>
        </w:tc>
        <w:tc>
          <w:tcPr>
            <w:tcW w:w="2099" w:type="dxa"/>
            <w:vAlign w:val="center"/>
            <w:tcMar>
              <w:top w:w="70" w:type="dxa"/>
              <w:bottom w:w="70" w:type="dxa"/>
              <w:start w:w="85" w:type="dxa"/>
              <w:end w:w="85" w:type="dxa"/>
            </w:tcMar>
            <w:shd w:fill="FFFFFF" w:val="clear"/>
          </w:tcPr>
          <w:p>
            <w:pPr>
              <w:pStyle w:val="Compact"/>
              <w:spacing w:before="0" w:after="40" w:line="240" w:lineRule="auto"/>
            </w:pPr>
          </w:p>
        </w:tc>
      </w:tr>
      <w:tr>
        <w:trPr>
          <w:cantSplit/>
        </w:trPr>
        <w:tc>
          <w:tcPr>
            <w:tcW w:w="800" w:type="dxa"/>
            <w:vAlign w:val="center"/>
            <w:tcMar>
              <w:top w:w="70" w:type="dxa"/>
              <w:bottom w:w="70" w:type="dxa"/>
              <w:start w:w="85" w:type="dxa"/>
              <w:end w:w="85" w:type="dxa"/>
            </w:tcMar>
            <w:shd w:fill="F4F6F7" w:val="clear"/>
          </w:tcPr>
          <w:p>
            <w:pPr>
              <w:pStyle w:val="Compact"/>
              <w:spacing w:before="0" w:after="40" w:line="240" w:lineRule="auto"/>
            </w:pPr>
          </w:p>
        </w:tc>
        <w:tc>
          <w:tcPr>
            <w:tcW w:w="1299" w:type="dxa"/>
            <w:vAlign w:val="center"/>
            <w:tcMar>
              <w:top w:w="70" w:type="dxa"/>
              <w:bottom w:w="70" w:type="dxa"/>
              <w:start w:w="85" w:type="dxa"/>
              <w:end w:w="85" w:type="dxa"/>
            </w:tcMar>
            <w:shd w:fill="F4F6F7" w:val="clear"/>
          </w:tcPr>
          <w:p>
            <w:pPr>
              <w:pStyle w:val="Compact"/>
              <w:spacing w:before="0" w:after="40" w:line="240" w:lineRule="auto"/>
            </w:pPr>
          </w:p>
        </w:tc>
        <w:tc>
          <w:tcPr>
            <w:tcW w:w="1399" w:type="dxa"/>
            <w:vAlign w:val="center"/>
            <w:tcMar>
              <w:top w:w="70" w:type="dxa"/>
              <w:bottom w:w="70" w:type="dxa"/>
              <w:start w:w="85" w:type="dxa"/>
              <w:end w:w="85" w:type="dxa"/>
            </w:tcMar>
            <w:shd w:fill="F4F6F7" w:val="clear"/>
          </w:tcPr>
          <w:p>
            <w:pPr>
              <w:pStyle w:val="Compact"/>
              <w:spacing w:before="0" w:after="40" w:line="240" w:lineRule="auto"/>
            </w:pPr>
          </w:p>
        </w:tc>
        <w:tc>
          <w:tcPr>
            <w:tcW w:w="1299" w:type="dxa"/>
            <w:vAlign w:val="center"/>
            <w:tcMar>
              <w:top w:w="70" w:type="dxa"/>
              <w:bottom w:w="70" w:type="dxa"/>
              <w:start w:w="85" w:type="dxa"/>
              <w:end w:w="85" w:type="dxa"/>
            </w:tcMar>
            <w:shd w:fill="F4F6F7" w:val="clear"/>
          </w:tcPr>
          <w:p>
            <w:pPr>
              <w:pStyle w:val="Compact"/>
              <w:spacing w:before="0" w:after="40" w:line="240" w:lineRule="auto"/>
            </w:pPr>
          </w:p>
        </w:tc>
        <w:tc>
          <w:tcPr>
            <w:tcW w:w="1599" w:type="dxa"/>
            <w:vAlign w:val="center"/>
            <w:tcMar>
              <w:top w:w="70" w:type="dxa"/>
              <w:bottom w:w="70" w:type="dxa"/>
              <w:start w:w="85" w:type="dxa"/>
              <w:end w:w="85" w:type="dxa"/>
            </w:tcMar>
            <w:shd w:fill="F4F6F7" w:val="clear"/>
          </w:tcPr>
          <w:p>
            <w:pPr>
              <w:pStyle w:val="Compact"/>
              <w:spacing w:before="0" w:after="40" w:line="240" w:lineRule="auto"/>
            </w:pPr>
          </w:p>
        </w:tc>
        <w:tc>
          <w:tcPr>
            <w:tcW w:w="1499" w:type="dxa"/>
            <w:vAlign w:val="center"/>
            <w:tcMar>
              <w:top w:w="70" w:type="dxa"/>
              <w:bottom w:w="70" w:type="dxa"/>
              <w:start w:w="85" w:type="dxa"/>
              <w:end w:w="85" w:type="dxa"/>
            </w:tcMar>
            <w:shd w:fill="F4F6F7" w:val="clear"/>
          </w:tcPr>
          <w:p>
            <w:pPr>
              <w:pStyle w:val="Compact"/>
              <w:spacing w:before="0" w:after="40" w:line="240" w:lineRule="auto"/>
            </w:pPr>
          </w:p>
        </w:tc>
        <w:tc>
          <w:tcPr>
            <w:tcW w:w="2099" w:type="dxa"/>
            <w:vAlign w:val="center"/>
            <w:tcMar>
              <w:top w:w="70" w:type="dxa"/>
              <w:bottom w:w="70" w:type="dxa"/>
              <w:start w:w="85" w:type="dxa"/>
              <w:end w:w="85" w:type="dxa"/>
            </w:tcMar>
            <w:shd w:fill="F4F6F7" w:val="clear"/>
          </w:tcPr>
          <w:p>
            <w:pPr>
              <w:pStyle w:val="Compact"/>
              <w:spacing w:before="0" w:after="40" w:line="240" w:lineRule="auto"/>
            </w:pPr>
          </w:p>
        </w:tc>
      </w:tr>
    </w:tbl>
    <w:p>
      <w:pPr>
        <w:pStyle w:val="BodyText"/>
      </w:pPr>
      <w:r>
        <w:rPr>
          <w:b/>
          <w:bCs/>
        </w:rPr>
        <w:t xml:space="preserve">Core deliverable:</w:t>
      </w:r>
      <w:r>
        <w:t xml:space="preserve"> </w:t>
      </w:r>
      <w:r>
        <w:t xml:space="preserve">one six-row grid and a two-sentence rule distinguishing evidence from constitution.</w:t>
      </w:r>
    </w:p>
    <w:p>
      <w:pPr>
        <w:pStyle w:val="BodyText"/>
      </w:pPr>
      <w:r>
        <w:rPr>
          <w:b/>
          <w:bCs/>
        </w:rPr>
        <w:t xml:space="preserve">Extension deliverable:</w:t>
      </w:r>
      <w:r>
        <w:t xml:space="preserve"> </w:t>
      </w:r>
      <w:r>
        <w:t xml:space="preserve">append three rows for Cards 7-8 and the student-authored card. On the invented-card row, mark every implicated target before selecting its most direct target.</w:t>
      </w:r>
    </w:p>
    <w:p>
      <w:pPr>
        <w:pStyle w:val="BodyText"/>
      </w:pPr>
      <w:r>
        <w:rPr>
          <w:b/>
          <w:bCs/>
        </w:rPr>
        <w:t xml:space="preserve">Accessible/digital alternative:</w:t>
      </w:r>
      <w:r>
        <w:t xml:space="preserve"> </w:t>
      </w:r>
      <w:r>
        <w:t xml:space="preserve">use a shared grid with one card per row. Students enter private placements in hidden columns before the group column is opened.</w:t>
      </w:r>
    </w:p>
    <w:bookmarkEnd w:id="14"/>
    <w:bookmarkEnd w:id="15"/>
    <w:bookmarkStart w:id="18" w:name="X39af176a369fc95e06737b88f520a95411ebcce"/>
    <w:p>
      <w:pPr>
        <w:pStyle w:val="Heading2"/>
        <w:pageBreakBefore/>
      </w:pPr>
      <w:r>
        <w:t xml:space="preserve">Session 2 Resource. Component-Matrix Jigsaw</w:t>
      </w:r>
    </w:p>
    <w:bookmarkStart w:id="16" w:name="frozen-rules"/>
    <w:p>
      <w:pPr>
        <w:pStyle w:val="Heading3"/>
      </w:pPr>
      <w:r>
        <w:t xml:space="preserve">Frozen Rules</w:t>
      </w:r>
    </w:p>
    <w:p>
      <w:pPr>
        <w:pStyle w:val="Compact"/>
        <w:numPr>
          <w:ilvl w:val="0"/>
          <w:numId w:val="1004"/>
        </w:numPr>
      </w:pPr>
      <w:r>
        <w:t xml:space="preserve">Candidate reliability must satisfy</w:t>
      </w:r>
      <w:r>
        <w:t xml:space="preserve"> </w:t>
      </w:r>
      <m:oMath>
        <m:sSub>
          <m:e>
            <m:r>
              <m:t>R</m:t>
            </m:r>
          </m:e>
          <m:sub>
            <m:r>
              <m:t>C</m:t>
            </m:r>
          </m:sub>
        </m:sSub>
        <m:r>
          <m:rPr>
            <m:sty m:val="p"/>
          </m:rPr>
          <m:t>≥</m:t>
        </m:r>
        <m:r>
          <m:t>.80</m:t>
        </m:r>
      </m:oMath>
      <w:r>
        <w:t xml:space="preserve"> </w:t>
      </w:r>
      <w:r>
        <w:t xml:space="preserve">before a system is used as a</w:t>
      </w:r>
      <w:r>
        <w:t xml:space="preserve"> </w:t>
      </w:r>
      <m:oMath>
        <m:sSub>
          <m:e>
            <m:r>
              <m:rPr>
                <m:scr m:val="script"/>
                <m:sty m:val="p"/>
              </m:rPr>
              <m:t>P</m:t>
            </m:r>
          </m:e>
          <m:sub>
            <m:r>
              <m:rPr>
                <m:sty m:val="p"/>
              </m:rPr>
              <m:t>Θ</m:t>
            </m:r>
          </m:sub>
        </m:sSub>
      </m:oMath>
      <w:r>
        <w:t xml:space="preserve"> </w:t>
      </w:r>
      <w:r>
        <w:t xml:space="preserve">referent. A positive-bearer output additionally requires</w:t>
      </w:r>
      <w:r>
        <w:t xml:space="preserve"> </w:t>
      </w:r>
      <m:oMath>
        <m:sSub>
          <m:e>
            <m:r>
              <m:t>R</m:t>
            </m:r>
          </m:e>
          <m:sub>
            <m:r>
              <m:t>B</m:t>
            </m:r>
          </m:sub>
        </m:sSub>
        <m:r>
          <m:rPr>
            <m:sty m:val="p"/>
          </m:rPr>
          <m:t>≥</m:t>
        </m:r>
        <m:r>
          <m:t>.80</m:t>
        </m:r>
      </m:oMath>
      <w:r>
        <w:t xml:space="preserve"> </w:t>
      </w:r>
      <w:r>
        <w:t xml:space="preserve">plus stable mappings and the declared minimality / separability rules.</w:t>
      </w:r>
    </w:p>
    <w:p>
      <w:pPr>
        <w:pStyle w:val="Compact"/>
        <w:numPr>
          <w:ilvl w:val="0"/>
          <w:numId w:val="1004"/>
        </w:numPr>
      </w:pPr>
      <m:oMath>
        <m:r>
          <m:t>V</m:t>
        </m:r>
      </m:oMath>
      <w:r>
        <w:t xml:space="preserve"> </w:t>
      </w:r>
      <w:r>
        <w:t xml:space="preserve">threshold:</w:t>
      </w:r>
      <w:r>
        <w:t xml:space="preserve"> </w:t>
      </w:r>
      <m:oMath>
        <m:r>
          <m:t>.65</m:t>
        </m:r>
      </m:oMath>
      <w:r>
        <w:t xml:space="preserve">.</w:t>
      </w:r>
    </w:p>
    <w:p>
      <w:pPr>
        <w:pStyle w:val="Compact"/>
        <w:numPr>
          <w:ilvl w:val="0"/>
          <w:numId w:val="1004"/>
        </w:numPr>
      </w:pPr>
      <m:oMath>
        <m:sSub>
          <m:e>
            <m:r>
              <m:t>N</m:t>
            </m:r>
          </m:e>
          <m:sub>
            <m:r>
              <m:t>1</m:t>
            </m:r>
          </m:sub>
        </m:sSub>
      </m:oMath>
      <w:r>
        <w:t xml:space="preserve"> </w:t>
      </w:r>
      <w:r>
        <w:t xml:space="preserve">threshold:</w:t>
      </w:r>
      <w:r>
        <w:t xml:space="preserve"> </w:t>
      </w:r>
      <m:oMath>
        <m:r>
          <m:t>.60</m:t>
        </m:r>
      </m:oMath>
      <w:r>
        <w:t xml:space="preserve">.</w:t>
      </w:r>
    </w:p>
    <w:p>
      <w:pPr>
        <w:pStyle w:val="Compact"/>
        <w:numPr>
          <w:ilvl w:val="0"/>
          <w:numId w:val="1004"/>
        </w:numPr>
      </w:pPr>
      <m:oMath>
        <m:sSub>
          <m:e>
            <m:r>
              <m:t>N</m:t>
            </m:r>
          </m:e>
          <m:sub>
            <m:r>
              <m:t>2</m:t>
            </m:r>
          </m:sub>
        </m:sSub>
      </m:oMath>
      <w:r>
        <w:t xml:space="preserve"> </w:t>
      </w:r>
      <w:r>
        <w:t xml:space="preserve">threshold:</w:t>
      </w:r>
      <w:r>
        <w:t xml:space="preserve"> </w:t>
      </w:r>
      <m:oMath>
        <m:r>
          <m:t>.60</m:t>
        </m:r>
      </m:oMath>
      <w:r>
        <w:t xml:space="preserve">.</w:t>
      </w:r>
    </w:p>
    <w:p>
      <w:pPr>
        <w:pStyle w:val="Compact"/>
        <w:numPr>
          <w:ilvl w:val="0"/>
          <w:numId w:val="1004"/>
        </w:numPr>
      </w:pPr>
      <m:oMath>
        <m:sSub>
          <m:e>
            <m:r>
              <m:t>N</m:t>
            </m:r>
          </m:e>
          <m:sub>
            <m:r>
              <m:t>3</m:t>
            </m:r>
          </m:sub>
        </m:sSub>
      </m:oMath>
      <w:r>
        <w:t xml:space="preserve"> </w:t>
      </w:r>
      <w:r>
        <w:t xml:space="preserve">threshold:</w:t>
      </w:r>
      <w:r>
        <w:t xml:space="preserve"> </w:t>
      </w:r>
      <m:oMath>
        <m:r>
          <m:t>.50</m:t>
        </m:r>
      </m:oMath>
      <w:r>
        <w:t xml:space="preserve">.</w:t>
      </w:r>
    </w:p>
    <w:p>
      <w:pPr>
        <w:pStyle w:val="Compact"/>
        <w:numPr>
          <w:ilvl w:val="0"/>
          <w:numId w:val="1004"/>
        </w:numPr>
      </w:pPr>
      <w:r>
        <w:t xml:space="preserve">Two credible surrogates conflict when their intervals do not overlap and their point estimates differ by more than</w:t>
      </w:r>
      <w:r>
        <w:t xml:space="preserve"> </w:t>
      </w:r>
      <m:oMath>
        <m:r>
          <m:t>.15</m:t>
        </m:r>
      </m:oMath>
      <w:r>
        <w:t xml:space="preserve">.</w:t>
      </w:r>
    </w:p>
    <w:p>
      <w:pPr>
        <w:pStyle w:val="FirstParagraph"/>
      </w:pPr>
      <w:r>
        <w:t xml:space="preserve">All intervals are 95 percent teaching intervals. All profiles are synthetic.</w:t>
      </w:r>
    </w:p>
    <w:bookmarkEnd w:id="16"/>
    <w:bookmarkStart w:id="17" w:name="student-materials-1"/>
    <w:p>
      <w:pPr>
        <w:pStyle w:val="Heading3"/>
      </w:pPr>
      <w:r>
        <w:t xml:space="preserve">Student Materials</w:t>
      </w:r>
    </w:p>
    <w:p>
      <w:pPr>
        <w:pStyle w:val="FirstParagraph"/>
      </w:pPr>
      <w:r>
        <w:rPr>
          <w:b/>
          <w:bCs/>
        </w:rPr>
        <w:t xml:space="preserve">Core.</w:t>
      </w:r>
      <w:r>
        <w:t xml:space="preserve"> </w:t>
      </w:r>
      <w:r>
        <w:t xml:space="preserve">Assign one profile per team.</w:t>
      </w:r>
      <w:r>
        <w:t xml:space="preserve"> </w:t>
      </w:r>
      <w:r>
        <w:rPr>
          <w:b/>
          <w:bCs/>
        </w:rPr>
        <w:t xml:space="preserve">Extension.</w:t>
      </w:r>
      <w:r>
        <w:t xml:space="preserve"> </w:t>
      </w:r>
      <w:r>
        <w:t xml:space="preserve">Teams classify a second profile and write a threat to the opposite direction of the biconditional.</w:t>
      </w:r>
    </w:p>
    <w:tbl>
      <w:tblPr>
        <w:tblStyle w:val="Table"/>
        <w:tblW w:type="dxa" w:w="9994"/>
        <w:jc w:val="center"/>
        <w:tblLayout w:type="fixed"/>
        <w:tblLook w:firstRow="1" w:lastRow="0" w:firstColumn="0" w:lastColumn="0" w:noHBand="0" w:noVBand="0" w:val="0020"/>
      </w:tblPr>
      <w:tblGrid>
        <w:gridCol w:w="800"/>
        <w:gridCol w:w="1999"/>
        <w:gridCol w:w="1299"/>
        <w:gridCol w:w="1299"/>
        <w:gridCol w:w="1299"/>
        <w:gridCol w:w="1299"/>
        <w:gridCol w:w="1999"/>
      </w:tblGrid>
      <w:tr>
        <w:trPr>
          <w:tblHeader w:val="on"/>
          <w:cantSplit/>
        </w:trPr>
        <w:tc>
          <w:tcPr>
            <w:tcW w:w="800"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Profile</w:t>
            </w:r>
          </w:p>
        </w:tc>
        <w:tc>
          <w:tcPr>
            <w:tcW w:w="19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Referent / bearer status</w:t>
            </w:r>
          </w:p>
        </w:tc>
        <w:tc>
          <w:tcPr>
            <w:tcW w:w="12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V</w:t>
            </w:r>
          </w:p>
        </w:tc>
        <w:tc>
          <w:tcPr>
            <w:tcW w:w="12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N₁</w:t>
            </w:r>
          </w:p>
        </w:tc>
        <w:tc>
          <w:tcPr>
            <w:tcW w:w="12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N₂</w:t>
            </w:r>
          </w:p>
        </w:tc>
        <w:tc>
          <w:tcPr>
            <w:tcW w:w="12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N₃</w:t>
            </w:r>
          </w:p>
        </w:tc>
        <w:tc>
          <w:tcPr>
            <w:tcW w:w="19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Additional information</w:t>
            </w:r>
          </w:p>
        </w:tc>
      </w:tr>
      <w:tr>
        <w:trPr>
          <w:cantSplit/>
        </w:trPr>
        <w:tc>
          <w:tcPr>
            <w:tcW w:w="8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A</w:t>
            </w:r>
          </w:p>
        </w:tc>
        <w:tc>
          <w:tcPr>
            <w:tcW w:w="1999" w:type="dxa"/>
            <w:vAlign w:val="center"/>
            <w:tcMar>
              <w:top w:w="70" w:type="dxa"/>
              <w:bottom w:w="70" w:type="dxa"/>
              <w:start w:w="85" w:type="dxa"/>
              <w:end w:w="85" w:type="dxa"/>
            </w:tcMar>
            <w:shd w:fill="FFFFFF" w:val="clear"/>
          </w:tcPr>
          <w:p>
            <w:pPr>
              <w:pStyle w:val="Compact"/>
              <w:spacing w:before="0" w:after="40" w:line="240" w:lineRule="auto"/>
            </w:pP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.92</m:t>
              </m:r>
            </m:oMath>
            <w:r>
              <w:rPr>
                <w:rFonts w:ascii="Liberation Sans" w:hAnsi="Liberation Sans" w:eastAsia="Liberation Sans" w:cs="Liberation Sans"/>
                <w:color w:val="232A30"/>
                <w:sz w:val="18"/>
              </w:rPr>
              <w:t xml:space="preserve">; no all-pass proper subsystem;</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B</m:t>
                  </m:r>
                </m:sub>
              </m:sSub>
              <m:r>
                <m:rPr>
                  <m:sty m:val="p"/>
                </m:rPr>
                <w:rPr>
                  <w:sz w:val="18"/>
                  <w:szCs w:val="18"/>
                  <w:color w:val="232A30"/>
                </w:rPr>
                <m:t>=</m:t>
              </m:r>
              <m:r>
                <w:rPr>
                  <w:sz w:val="18"/>
                  <w:szCs w:val="18"/>
                  <w:color w:val="232A30"/>
                </w:rPr>
                <m:t>.88</m:t>
              </m:r>
            </m:oMath>
            <w:r>
              <w:rPr>
                <w:rFonts w:ascii="Liberation Sans" w:hAnsi="Liberation Sans" w:eastAsia="Liberation Sans" w:cs="Liberation Sans"/>
                <w:color w:val="232A30"/>
                <w:sz w:val="18"/>
              </w:rPr>
              <w:t xml:space="preserve">; positive bearer resolved</w:t>
            </w:r>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.81</m:t>
              </m:r>
              <m:r>
                <m:rPr>
                  <m:sty m:val="p"/>
                </m:rPr>
                <w:rPr>
                  <w:sz w:val="18"/>
                  <w:szCs w:val="18"/>
                  <w:color w:val="232A30"/>
                </w:rPr>
                <m:t>[</m:t>
              </m:r>
              <m:r>
                <w:rPr>
                  <w:sz w:val="18"/>
                  <w:szCs w:val="18"/>
                  <w:color w:val="232A30"/>
                </w:rPr>
                <m:t>.74</m:t>
              </m:r>
              <m:r>
                <m:rPr>
                  <m:sty m:val="p"/>
                </m:rPr>
                <w:rPr>
                  <w:sz w:val="18"/>
                  <w:szCs w:val="18"/>
                  <w:color w:val="232A30"/>
                </w:rPr>
                <m:t>,</m:t>
              </m:r>
              <m:r>
                <w:rPr>
                  <w:sz w:val="18"/>
                  <w:szCs w:val="18"/>
                  <w:color w:val="232A30"/>
                </w:rPr>
                <m:t>.86</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.74</m:t>
              </m:r>
              <m:r>
                <m:rPr>
                  <m:sty m:val="p"/>
                </m:rPr>
                <w:rPr>
                  <w:sz w:val="18"/>
                  <w:szCs w:val="18"/>
                  <w:color w:val="232A30"/>
                </w:rPr>
                <m:t>[</m:t>
              </m:r>
              <m:r>
                <w:rPr>
                  <w:sz w:val="18"/>
                  <w:szCs w:val="18"/>
                  <w:color w:val="232A30"/>
                </w:rPr>
                <m:t>.68</m:t>
              </m:r>
              <m:r>
                <m:rPr>
                  <m:sty m:val="p"/>
                </m:rPr>
                <w:rPr>
                  <w:sz w:val="18"/>
                  <w:szCs w:val="18"/>
                  <w:color w:val="232A30"/>
                </w:rPr>
                <m:t>,</m:t>
              </m:r>
              <m:r>
                <w:rPr>
                  <w:sz w:val="18"/>
                  <w:szCs w:val="18"/>
                  <w:color w:val="232A30"/>
                </w:rPr>
                <m:t>.80</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.69</m:t>
              </m:r>
              <m:r>
                <m:rPr>
                  <m:sty m:val="p"/>
                </m:rPr>
                <w:rPr>
                  <w:sz w:val="18"/>
                  <w:szCs w:val="18"/>
                  <w:color w:val="232A30"/>
                </w:rPr>
                <m:t>[</m:t>
              </m:r>
              <m:r>
                <w:rPr>
                  <w:sz w:val="18"/>
                  <w:szCs w:val="18"/>
                  <w:color w:val="232A30"/>
                </w:rPr>
                <m:t>.63</m:t>
              </m:r>
              <m:r>
                <m:rPr>
                  <m:sty m:val="p"/>
                </m:rPr>
                <w:rPr>
                  <w:sz w:val="18"/>
                  <w:szCs w:val="18"/>
                  <w:color w:val="232A30"/>
                </w:rPr>
                <m:t>,</m:t>
              </m:r>
              <m:r>
                <w:rPr>
                  <w:sz w:val="18"/>
                  <w:szCs w:val="18"/>
                  <w:color w:val="232A30"/>
                </w:rPr>
                <m:t>.75</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.58</m:t>
              </m:r>
              <m:r>
                <m:rPr>
                  <m:sty m:val="p"/>
                </m:rPr>
                <w:rPr>
                  <w:sz w:val="18"/>
                  <w:szCs w:val="18"/>
                  <w:color w:val="232A30"/>
                </w:rPr>
                <m:t>[</m:t>
              </m:r>
              <m:r>
                <w:rPr>
                  <w:sz w:val="18"/>
                  <w:szCs w:val="18"/>
                  <w:color w:val="232A30"/>
                </w:rPr>
                <m:t>.52</m:t>
              </m:r>
              <m:r>
                <m:rPr>
                  <m:sty m:val="p"/>
                </m:rPr>
                <w:rPr>
                  <w:sz w:val="18"/>
                  <w:szCs w:val="18"/>
                  <w:color w:val="232A30"/>
                </w:rPr>
                <m:t>,</m:t>
              </m:r>
              <m:r>
                <w:rPr>
                  <w:sz w:val="18"/>
                  <w:szCs w:val="18"/>
                  <w:color w:val="232A30"/>
                </w:rPr>
                <m:t>.64</m:t>
              </m:r>
              <m:r>
                <m:rPr>
                  <m:sty m:val="p"/>
                </m:rPr>
                <w:rPr>
                  <w:sz w:val="18"/>
                  <w:szCs w:val="18"/>
                  <w:color w:val="232A30"/>
                </w:rPr>
                <m:t>]</m:t>
              </m:r>
            </m:oMath>
          </w:p>
        </w:tc>
        <w:tc>
          <w:tcPr>
            <w:tcW w:w="19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applicability, quality, mappings, and separability pass</w:t>
            </w:r>
          </w:p>
        </w:tc>
      </w:tr>
      <w:tr>
        <w:trPr>
          <w:cantSplit/>
        </w:trPr>
        <w:tc>
          <w:tcPr>
            <w:tcW w:w="8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B</w:t>
            </w:r>
          </w:p>
        </w:tc>
        <w:tc>
          <w:tcPr>
            <w:tcW w:w="19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stable</w:t>
            </w:r>
            <w:r>
              <w:rPr>
                <w:rFonts w:ascii="Liberation Sans" w:hAnsi="Liberation Sans" w:eastAsia="Liberation Sans" w:cs="Liberation Sans"/>
                <w:color w:val="232A30"/>
                <w:sz w:val="18"/>
              </w:rPr>
              <w:t xml:space="preserve"> </w:t>
            </w:r>
            <m:oMath>
              <m:sSub>
                <m:e>
                  <m:r>
                    <m:rPr>
                      <m:scr m:val="script"/>
                      <m:sty m:val="p"/>
                    </m:rPr>
                    <w:rPr>
                      <w:sz w:val="18"/>
                      <w:szCs w:val="18"/>
                      <w:color w:val="232A30"/>
                    </w:rPr>
                    <m:t>P</m:t>
                  </m:r>
                </m:e>
                <m:sub>
                  <m:r>
                    <m:rPr>
                      <m:sty m:val="p"/>
                    </m:rPr>
                    <w:rPr>
                      <w:sz w:val="18"/>
                      <w:szCs w:val="18"/>
                      <w:color w:val="232A30"/>
                    </w:rPr>
                    <m:t>Θ</m:t>
                  </m:r>
                </m:sub>
              </m:sSub>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referent,</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.90</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B</m:t>
                  </m:r>
                </m:sub>
              </m:sSub>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not applicable to a positive output</w:t>
            </w:r>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.79</m:t>
              </m:r>
              <m:r>
                <m:rPr>
                  <m:sty m:val="p"/>
                </m:rPr>
                <w:rPr>
                  <w:sz w:val="18"/>
                  <w:szCs w:val="18"/>
                  <w:color w:val="232A30"/>
                </w:rPr>
                <m:t>[</m:t>
              </m:r>
              <m:r>
                <w:rPr>
                  <w:sz w:val="18"/>
                  <w:szCs w:val="18"/>
                  <w:color w:val="232A30"/>
                </w:rPr>
                <m:t>.72</m:t>
              </m:r>
              <m:r>
                <m:rPr>
                  <m:sty m:val="p"/>
                </m:rPr>
                <w:rPr>
                  <w:sz w:val="18"/>
                  <w:szCs w:val="18"/>
                  <w:color w:val="232A30"/>
                </w:rPr>
                <m:t>,</m:t>
              </m:r>
              <m:r>
                <w:rPr>
                  <w:sz w:val="18"/>
                  <w:szCs w:val="18"/>
                  <w:color w:val="232A30"/>
                </w:rPr>
                <m:t>.84</m:t>
              </m:r>
              <m:r>
                <m:rPr>
                  <m:sty m:val="p"/>
                </m:rPr>
                <w:rPr>
                  <w:sz w:val="18"/>
                  <w:szCs w:val="18"/>
                  <w:color w:val="232A30"/>
                </w:rPr>
                <m:t>]</m:t>
              </m:r>
            </m:oMath>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.73</m:t>
              </m:r>
              <m:r>
                <m:rPr>
                  <m:sty m:val="p"/>
                </m:rPr>
                <w:rPr>
                  <w:sz w:val="18"/>
                  <w:szCs w:val="18"/>
                  <w:color w:val="232A30"/>
                </w:rPr>
                <m:t>[</m:t>
              </m:r>
              <m:r>
                <w:rPr>
                  <w:sz w:val="18"/>
                  <w:szCs w:val="18"/>
                  <w:color w:val="232A30"/>
                </w:rPr>
                <m:t>.67</m:t>
              </m:r>
              <m:r>
                <m:rPr>
                  <m:sty m:val="p"/>
                </m:rPr>
                <w:rPr>
                  <w:sz w:val="18"/>
                  <w:szCs w:val="18"/>
                  <w:color w:val="232A30"/>
                </w:rPr>
                <m:t>,</m:t>
              </m:r>
              <m:r>
                <w:rPr>
                  <w:sz w:val="18"/>
                  <w:szCs w:val="18"/>
                  <w:color w:val="232A30"/>
                </w:rPr>
                <m:t>.79</m:t>
              </m:r>
              <m:r>
                <m:rPr>
                  <m:sty m:val="p"/>
                </m:rPr>
                <w:rPr>
                  <w:sz w:val="18"/>
                  <w:szCs w:val="18"/>
                  <w:color w:val="232A30"/>
                </w:rPr>
                <m:t>]</m:t>
              </m:r>
            </m:oMath>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.41</m:t>
              </m:r>
              <m:r>
                <m:rPr>
                  <m:sty m:val="p"/>
                </m:rPr>
                <w:rPr>
                  <w:sz w:val="18"/>
                  <w:szCs w:val="18"/>
                  <w:color w:val="232A30"/>
                </w:rPr>
                <m:t>[</m:t>
              </m:r>
              <m:r>
                <w:rPr>
                  <w:sz w:val="18"/>
                  <w:szCs w:val="18"/>
                  <w:color w:val="232A30"/>
                </w:rPr>
                <m:t>.34</m:t>
              </m:r>
              <m:r>
                <m:rPr>
                  <m:sty m:val="p"/>
                </m:rPr>
                <w:rPr>
                  <w:sz w:val="18"/>
                  <w:szCs w:val="18"/>
                  <w:color w:val="232A30"/>
                </w:rPr>
                <m:t>,</m:t>
              </m:r>
              <m:r>
                <w:rPr>
                  <w:sz w:val="18"/>
                  <w:szCs w:val="18"/>
                  <w:color w:val="232A30"/>
                </w:rPr>
                <m:t>.48</m:t>
              </m:r>
              <m:r>
                <m:rPr>
                  <m:sty m:val="p"/>
                </m:rPr>
                <w:rPr>
                  <w:sz w:val="18"/>
                  <w:szCs w:val="18"/>
                  <w:color w:val="232A30"/>
                </w:rPr>
                <m:t>]</m:t>
              </m:r>
            </m:oMath>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.61</m:t>
              </m:r>
              <m:r>
                <m:rPr>
                  <m:sty m:val="p"/>
                </m:rPr>
                <w:rPr>
                  <w:sz w:val="18"/>
                  <w:szCs w:val="18"/>
                  <w:color w:val="232A30"/>
                </w:rPr>
                <m:t>[</m:t>
              </m:r>
              <m:r>
                <w:rPr>
                  <w:sz w:val="18"/>
                  <w:szCs w:val="18"/>
                  <w:color w:val="232A30"/>
                </w:rPr>
                <m:t>.55</m:t>
              </m:r>
              <m:r>
                <m:rPr>
                  <m:sty m:val="p"/>
                </m:rPr>
                <w:rPr>
                  <w:sz w:val="18"/>
                  <w:szCs w:val="18"/>
                  <w:color w:val="232A30"/>
                </w:rPr>
                <m:t>,</m:t>
              </m:r>
              <m:r>
                <w:rPr>
                  <w:sz w:val="18"/>
                  <w:szCs w:val="18"/>
                  <w:color w:val="232A30"/>
                </w:rPr>
                <m:t>.67</m:t>
              </m:r>
              <m:r>
                <m:rPr>
                  <m:sty m:val="p"/>
                </m:rPr>
                <w:rPr>
                  <w:sz w:val="18"/>
                  <w:szCs w:val="18"/>
                  <w:color w:val="232A30"/>
                </w:rPr>
                <m:t>]</m:t>
              </m:r>
            </m:oMath>
          </w:p>
        </w:tc>
        <w:tc>
          <w:tcPr>
            <w:tcW w:w="19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content fidelity, report exclusion, and route tests pass</w:t>
            </w:r>
          </w:p>
        </w:tc>
      </w:tr>
      <w:tr>
        <w:trPr>
          <w:cantSplit/>
        </w:trPr>
        <w:tc>
          <w:tcPr>
            <w:tcW w:w="8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C</w:t>
            </w:r>
          </w:p>
        </w:tc>
        <w:tc>
          <w:tcPr>
            <w:tcW w:w="19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stable</w:t>
            </w:r>
            <w:r>
              <w:rPr>
                <w:rFonts w:ascii="Liberation Sans" w:hAnsi="Liberation Sans" w:eastAsia="Liberation Sans" w:cs="Liberation Sans"/>
                <w:color w:val="232A30"/>
                <w:sz w:val="18"/>
              </w:rPr>
              <w:t xml:space="preserve"> </w:t>
            </w:r>
            <m:oMath>
              <m:sSub>
                <m:e>
                  <m:r>
                    <m:rPr>
                      <m:scr m:val="script"/>
                      <m:sty m:val="p"/>
                    </m:rPr>
                    <w:rPr>
                      <w:sz w:val="18"/>
                      <w:szCs w:val="18"/>
                      <w:color w:val="232A30"/>
                    </w:rPr>
                    <m:t>P</m:t>
                  </m:r>
                </m:e>
                <m:sub>
                  <m:r>
                    <m:rPr>
                      <m:sty m:val="p"/>
                    </m:rPr>
                    <w:rPr>
                      <w:sz w:val="18"/>
                      <w:szCs w:val="18"/>
                      <w:color w:val="232A30"/>
                    </w:rPr>
                    <m:t>Θ</m:t>
                  </m:r>
                </m:sub>
              </m:sSub>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referent,</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.88</m:t>
              </m:r>
            </m:oMath>
            <w:r>
              <w:rPr>
                <w:rFonts w:ascii="Liberation Sans" w:hAnsi="Liberation Sans" w:eastAsia="Liberation Sans" w:cs="Liberation Sans"/>
                <w:color w:val="232A30"/>
                <w:sz w:val="18"/>
              </w:rPr>
              <w:t xml:space="preserve">; bearer output unresolved</w:t>
            </w:r>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not measured</w:t>
            </w:r>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.72</m:t>
              </m:r>
              <m:r>
                <m:rPr>
                  <m:sty m:val="p"/>
                </m:rPr>
                <w:rPr>
                  <w:sz w:val="18"/>
                  <w:szCs w:val="18"/>
                  <w:color w:val="232A30"/>
                </w:rPr>
                <m:t>[</m:t>
              </m:r>
              <m:r>
                <w:rPr>
                  <w:sz w:val="18"/>
                  <w:szCs w:val="18"/>
                  <w:color w:val="232A30"/>
                </w:rPr>
                <m:t>.65</m:t>
              </m:r>
              <m:r>
                <m:rPr>
                  <m:sty m:val="p"/>
                </m:rPr>
                <w:rPr>
                  <w:sz w:val="18"/>
                  <w:szCs w:val="18"/>
                  <w:color w:val="232A30"/>
                </w:rPr>
                <m:t>,</m:t>
              </m:r>
              <m:r>
                <w:rPr>
                  <w:sz w:val="18"/>
                  <w:szCs w:val="18"/>
                  <w:color w:val="232A30"/>
                </w:rPr>
                <m:t>.79</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.70</m:t>
              </m:r>
              <m:r>
                <m:rPr>
                  <m:sty m:val="p"/>
                </m:rPr>
                <w:rPr>
                  <w:sz w:val="18"/>
                  <w:szCs w:val="18"/>
                  <w:color w:val="232A30"/>
                </w:rPr>
                <m:t>[</m:t>
              </m:r>
              <m:r>
                <w:rPr>
                  <w:sz w:val="18"/>
                  <w:szCs w:val="18"/>
                  <w:color w:val="232A30"/>
                </w:rPr>
                <m:t>.64</m:t>
              </m:r>
              <m:r>
                <m:rPr>
                  <m:sty m:val="p"/>
                </m:rPr>
                <w:rPr>
                  <w:sz w:val="18"/>
                  <w:szCs w:val="18"/>
                  <w:color w:val="232A30"/>
                </w:rPr>
                <m:t>,</m:t>
              </m:r>
              <m:r>
                <w:rPr>
                  <w:sz w:val="18"/>
                  <w:szCs w:val="18"/>
                  <w:color w:val="232A30"/>
                </w:rPr>
                <m:t>.76</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.59</m:t>
              </m:r>
              <m:r>
                <m:rPr>
                  <m:sty m:val="p"/>
                </m:rPr>
                <w:rPr>
                  <w:sz w:val="18"/>
                  <w:szCs w:val="18"/>
                  <w:color w:val="232A30"/>
                </w:rPr>
                <m:t>[</m:t>
              </m:r>
              <m:r>
                <w:rPr>
                  <w:sz w:val="18"/>
                  <w:szCs w:val="18"/>
                  <w:color w:val="232A30"/>
                </w:rPr>
                <m:t>.53</m:t>
              </m:r>
              <m:r>
                <m:rPr>
                  <m:sty m:val="p"/>
                </m:rPr>
                <w:rPr>
                  <w:sz w:val="18"/>
                  <w:szCs w:val="18"/>
                  <w:color w:val="232A30"/>
                </w:rPr>
                <m:t>,</m:t>
              </m:r>
              <m:r>
                <w:rPr>
                  <w:sz w:val="18"/>
                  <w:szCs w:val="18"/>
                  <w:color w:val="232A30"/>
                </w:rPr>
                <m:t>.65</m:t>
              </m:r>
              <m:r>
                <m:rPr>
                  <m:sty m:val="p"/>
                </m:rPr>
                <w:rPr>
                  <w:sz w:val="18"/>
                  <w:szCs w:val="18"/>
                  <w:color w:val="232A30"/>
                </w:rPr>
                <m:t>]</m:t>
              </m:r>
            </m:oMath>
          </w:p>
        </w:tc>
        <w:tc>
          <w:tcPr>
            <w:tcW w:w="19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the preparation suffered an undocumented power interruption</w:t>
            </w:r>
          </w:p>
        </w:tc>
      </w:tr>
      <w:tr>
        <w:trPr>
          <w:cantSplit/>
        </w:trPr>
        <w:tc>
          <w:tcPr>
            <w:tcW w:w="8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D</w:t>
            </w:r>
          </w:p>
        </w:tc>
        <w:tc>
          <w:tcPr>
            <w:tcW w:w="19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stable</w:t>
            </w:r>
            <w:r>
              <w:rPr>
                <w:rFonts w:ascii="Liberation Sans" w:hAnsi="Liberation Sans" w:eastAsia="Liberation Sans" w:cs="Liberation Sans"/>
                <w:color w:val="232A30"/>
                <w:sz w:val="18"/>
              </w:rPr>
              <w:t xml:space="preserve"> </w:t>
            </w:r>
            <m:oMath>
              <m:sSub>
                <m:e>
                  <m:r>
                    <m:rPr>
                      <m:scr m:val="script"/>
                      <m:sty m:val="p"/>
                    </m:rPr>
                    <w:rPr>
                      <w:sz w:val="18"/>
                      <w:szCs w:val="18"/>
                      <w:color w:val="232A30"/>
                    </w:rPr>
                    <m:t>P</m:t>
                  </m:r>
                </m:e>
                <m:sub>
                  <m:r>
                    <m:rPr>
                      <m:sty m:val="p"/>
                    </m:rPr>
                    <w:rPr>
                      <w:sz w:val="18"/>
                      <w:szCs w:val="18"/>
                      <w:color w:val="232A30"/>
                    </w:rPr>
                    <m:t>Θ</m:t>
                  </m:r>
                </m:sub>
              </m:sSub>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referent,</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.91</m:t>
              </m:r>
            </m:oMath>
            <w:r>
              <w:rPr>
                <w:rFonts w:ascii="Liberation Sans" w:hAnsi="Liberation Sans" w:eastAsia="Liberation Sans" w:cs="Liberation Sans"/>
                <w:color w:val="232A30"/>
                <w:sz w:val="18"/>
              </w:rPr>
              <w:t xml:space="preserve">; bearer output unresolved</w:t>
            </w:r>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.80</m:t>
              </m:r>
              <m:r>
                <m:rPr>
                  <m:sty m:val="p"/>
                </m:rPr>
                <w:rPr>
                  <w:sz w:val="18"/>
                  <w:szCs w:val="18"/>
                  <w:color w:val="232A30"/>
                </w:rPr>
                <m:t>[</m:t>
              </m:r>
              <m:r>
                <w:rPr>
                  <w:sz w:val="18"/>
                  <w:szCs w:val="18"/>
                  <w:color w:val="232A30"/>
                </w:rPr>
                <m:t>.74</m:t>
              </m:r>
              <m:r>
                <m:rPr>
                  <m:sty m:val="p"/>
                </m:rPr>
                <w:rPr>
                  <w:sz w:val="18"/>
                  <w:szCs w:val="18"/>
                  <w:color w:val="232A30"/>
                </w:rPr>
                <m:t>,</m:t>
              </m:r>
              <m:r>
                <w:rPr>
                  <w:sz w:val="18"/>
                  <w:szCs w:val="18"/>
                  <w:color w:val="232A30"/>
                </w:rPr>
                <m:t>.85</m:t>
              </m:r>
              <m:r>
                <m:rPr>
                  <m:sty m:val="p"/>
                </m:rPr>
                <w:rPr>
                  <w:sz w:val="18"/>
                  <w:szCs w:val="18"/>
                  <w:color w:val="232A30"/>
                </w:rPr>
                <m:t>]</m:t>
              </m:r>
            </m:oMath>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A:</w:t>
            </w:r>
            <w:r>
              <w:rPr>
                <w:rFonts w:ascii="Liberation Sans" w:hAnsi="Liberation Sans" w:eastAsia="Liberation Sans" w:cs="Liberation Sans"/>
                <w:color w:val="232A30"/>
                <w:sz w:val="18"/>
              </w:rPr>
              <w:t xml:space="preserve"> </w:t>
            </w:r>
            <m:oMath>
              <m:r>
                <w:rPr>
                  <w:sz w:val="18"/>
                  <w:szCs w:val="18"/>
                  <w:color w:val="232A30"/>
                </w:rPr>
                <m:t>.72</m:t>
              </m:r>
              <m:r>
                <m:rPr>
                  <m:sty m:val="p"/>
                </m:rPr>
                <w:rPr>
                  <w:sz w:val="18"/>
                  <w:szCs w:val="18"/>
                  <w:color w:val="232A30"/>
                </w:rPr>
                <m:t>[</m:t>
              </m:r>
              <m:r>
                <w:rPr>
                  <w:sz w:val="18"/>
                  <w:szCs w:val="18"/>
                  <w:color w:val="232A30"/>
                </w:rPr>
                <m:t>.67</m:t>
              </m:r>
              <m:r>
                <m:rPr>
                  <m:sty m:val="p"/>
                </m:rPr>
                <w:rPr>
                  <w:sz w:val="18"/>
                  <w:szCs w:val="18"/>
                  <w:color w:val="232A30"/>
                </w:rPr>
                <m:t>,</m:t>
              </m:r>
              <m:r>
                <w:rPr>
                  <w:sz w:val="18"/>
                  <w:szCs w:val="18"/>
                  <w:color w:val="232A30"/>
                </w:rPr>
                <m:t>.77</m:t>
              </m:r>
              <m:r>
                <m:rPr>
                  <m:sty m:val="p"/>
                </m:rPr>
                <w:rPr>
                  <w:sz w:val="18"/>
                  <w:szCs w:val="18"/>
                  <w:color w:val="232A30"/>
                </w:rPr>
                <m:t>]</m:t>
              </m:r>
            </m:oMath>
            <w:r>
              <w:rPr>
                <w:rFonts w:ascii="Liberation Sans" w:hAnsi="Liberation Sans" w:eastAsia="Liberation Sans" w:cs="Liberation Sans"/>
                <w:color w:val="232A30"/>
                <w:sz w:val="18"/>
              </w:rPr>
              <w:t xml:space="preserve">; B:</w:t>
            </w:r>
            <w:r>
              <w:rPr>
                <w:rFonts w:ascii="Liberation Sans" w:hAnsi="Liberation Sans" w:eastAsia="Liberation Sans" w:cs="Liberation Sans"/>
                <w:color w:val="232A30"/>
                <w:sz w:val="18"/>
              </w:rPr>
              <w:t xml:space="preserve"> </w:t>
            </w:r>
            <m:oMath>
              <m:r>
                <w:rPr>
                  <w:sz w:val="18"/>
                  <w:szCs w:val="18"/>
                  <w:color w:val="232A30"/>
                </w:rPr>
                <m:t>.47</m:t>
              </m:r>
              <m:r>
                <m:rPr>
                  <m:sty m:val="p"/>
                </m:rPr>
                <w:rPr>
                  <w:sz w:val="18"/>
                  <w:szCs w:val="18"/>
                  <w:color w:val="232A30"/>
                </w:rPr>
                <m:t>[</m:t>
              </m:r>
              <m:r>
                <w:rPr>
                  <w:sz w:val="18"/>
                  <w:szCs w:val="18"/>
                  <w:color w:val="232A30"/>
                </w:rPr>
                <m:t>.42</m:t>
              </m:r>
              <m:r>
                <m:rPr>
                  <m:sty m:val="p"/>
                </m:rPr>
                <w:rPr>
                  <w:sz w:val="18"/>
                  <w:szCs w:val="18"/>
                  <w:color w:val="232A30"/>
                </w:rPr>
                <m:t>,</m:t>
              </m:r>
              <m:r>
                <w:rPr>
                  <w:sz w:val="18"/>
                  <w:szCs w:val="18"/>
                  <w:color w:val="232A30"/>
                </w:rPr>
                <m:t>.52</m:t>
              </m:r>
              <m:r>
                <m:rPr>
                  <m:sty m:val="p"/>
                </m:rPr>
                <w:rPr>
                  <w:sz w:val="18"/>
                  <w:szCs w:val="18"/>
                  <w:color w:val="232A30"/>
                </w:rPr>
                <m:t>]</m:t>
              </m:r>
            </m:oMath>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.68</m:t>
              </m:r>
              <m:r>
                <m:rPr>
                  <m:sty m:val="p"/>
                </m:rPr>
                <w:rPr>
                  <w:sz w:val="18"/>
                  <w:szCs w:val="18"/>
                  <w:color w:val="232A30"/>
                </w:rPr>
                <m:t>[</m:t>
              </m:r>
              <m:r>
                <w:rPr>
                  <w:sz w:val="18"/>
                  <w:szCs w:val="18"/>
                  <w:color w:val="232A30"/>
                </w:rPr>
                <m:t>.62</m:t>
              </m:r>
              <m:r>
                <m:rPr>
                  <m:sty m:val="p"/>
                </m:rPr>
                <w:rPr>
                  <w:sz w:val="18"/>
                  <w:szCs w:val="18"/>
                  <w:color w:val="232A30"/>
                </w:rPr>
                <m:t>,</m:t>
              </m:r>
              <m:r>
                <w:rPr>
                  <w:sz w:val="18"/>
                  <w:szCs w:val="18"/>
                  <w:color w:val="232A30"/>
                </w:rPr>
                <m:t>.74</m:t>
              </m:r>
              <m:r>
                <m:rPr>
                  <m:sty m:val="p"/>
                </m:rPr>
                <w:rPr>
                  <w:sz w:val="18"/>
                  <w:szCs w:val="18"/>
                  <w:color w:val="232A30"/>
                </w:rPr>
                <m:t>]</m:t>
              </m:r>
            </m:oMath>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.57</m:t>
              </m:r>
              <m:r>
                <m:rPr>
                  <m:sty m:val="p"/>
                </m:rPr>
                <w:rPr>
                  <w:sz w:val="18"/>
                  <w:szCs w:val="18"/>
                  <w:color w:val="232A30"/>
                </w:rPr>
                <m:t>[</m:t>
              </m:r>
              <m:r>
                <w:rPr>
                  <w:sz w:val="18"/>
                  <w:szCs w:val="18"/>
                  <w:color w:val="232A30"/>
                </w:rPr>
                <m:t>.51</m:t>
              </m:r>
              <m:r>
                <m:rPr>
                  <m:sty m:val="p"/>
                </m:rPr>
                <w:rPr>
                  <w:sz w:val="18"/>
                  <w:szCs w:val="18"/>
                  <w:color w:val="232A30"/>
                </w:rPr>
                <m:t>,</m:t>
              </m:r>
              <m:r>
                <w:rPr>
                  <w:sz w:val="18"/>
                  <w:szCs w:val="18"/>
                  <w:color w:val="232A30"/>
                </w:rPr>
                <m:t>.63</m:t>
              </m:r>
              <m:r>
                <m:rPr>
                  <m:sty m:val="p"/>
                </m:rPr>
                <w:rPr>
                  <w:sz w:val="18"/>
                  <w:szCs w:val="18"/>
                  <w:color w:val="232A30"/>
                </w:rPr>
                <m:t>]</m:t>
              </m:r>
            </m:oMath>
          </w:p>
        </w:tc>
        <w:tc>
          <w:tcPr>
            <w:tcW w:w="19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both</w:t>
            </w:r>
            <w:r>
              <w:rPr>
                <w:rFonts w:ascii="Liberation Sans" w:hAnsi="Liberation Sans" w:eastAsia="Liberation Sans" w:cs="Liberation Sans"/>
                <w:color w:val="232A30"/>
                <w:sz w:val="18"/>
              </w:rPr>
              <w:t xml:space="preserve"> </w:t>
            </w:r>
            <m:oMath>
              <m:sSub>
                <m:e>
                  <m:r>
                    <w:rPr>
                      <w:sz w:val="18"/>
                      <w:szCs w:val="18"/>
                      <w:color w:val="232A30"/>
                    </w:rPr>
                    <m:t>N</m:t>
                  </m:r>
                </m:e>
                <m:sub>
                  <m:r>
                    <w:rPr>
                      <w:sz w:val="18"/>
                      <w:szCs w:val="18"/>
                      <w:color w:val="232A30"/>
                    </w:rPr>
                    <m:t>1</m:t>
                  </m:r>
                </m:sub>
              </m:sSub>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surrogates were preregistered and credible</w:t>
            </w:r>
          </w:p>
        </w:tc>
      </w:tr>
      <w:tr>
        <w:trPr>
          <w:cantSplit/>
        </w:trPr>
        <w:tc>
          <w:tcPr>
            <w:tcW w:w="8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E</w:t>
            </w:r>
          </w:p>
        </w:tc>
        <w:tc>
          <w:tcPr>
            <w:tcW w:w="19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candidate X</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.74</m:t>
              </m:r>
            </m:oMath>
            <w:r>
              <w:rPr>
                <w:rFonts w:ascii="Liberation Sans" w:hAnsi="Liberation Sans" w:eastAsia="Liberation Sans" w:cs="Liberation Sans"/>
                <w:color w:val="232A30"/>
                <w:sz w:val="18"/>
              </w:rPr>
              <w:t xml:space="preserve">; candidate Y</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.76</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X $.78; Y</w:t>
            </w:r>
            <w:r>
              <w:rPr>
                <w:rFonts w:ascii="Liberation Sans" w:hAnsi="Liberation Sans" w:eastAsia="Liberation Sans" w:cs="Liberation Sans"/>
                <w:color w:val="232A30"/>
                <w:sz w:val="18"/>
              </w:rPr>
              <w:t xml:space="preserve"> </w:t>
            </w:r>
            <m:oMath>
              <m:r>
                <w:rPr>
                  <w:sz w:val="18"/>
                  <w:szCs w:val="18"/>
                  <w:color w:val="232A30"/>
                </w:rPr>
                <m:t>.80</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X $.67; Y</w:t>
            </w:r>
            <w:r>
              <w:rPr>
                <w:rFonts w:ascii="Liberation Sans" w:hAnsi="Liberation Sans" w:eastAsia="Liberation Sans" w:cs="Liberation Sans"/>
                <w:color w:val="232A30"/>
                <w:sz w:val="18"/>
              </w:rPr>
              <w:t xml:space="preserve"> </w:t>
            </w:r>
            <m:oMath>
              <m:r>
                <w:rPr>
                  <w:sz w:val="18"/>
                  <w:szCs w:val="18"/>
                  <w:color w:val="232A30"/>
                </w:rPr>
                <m:t>.55</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X $.62; Y</w:t>
            </w:r>
            <w:r>
              <w:rPr>
                <w:rFonts w:ascii="Liberation Sans" w:hAnsi="Liberation Sans" w:eastAsia="Liberation Sans" w:cs="Liberation Sans"/>
                <w:color w:val="232A30"/>
                <w:sz w:val="18"/>
              </w:rPr>
              <w:t xml:space="preserve"> </w:t>
            </w:r>
            <m:oMath>
              <m:r>
                <w:rPr>
                  <w:sz w:val="18"/>
                  <w:szCs w:val="18"/>
                  <w:color w:val="232A30"/>
                </w:rPr>
                <m:t>.71</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X $.56; Y</w:t>
            </w:r>
            <w:r>
              <w:rPr>
                <w:rFonts w:ascii="Liberation Sans" w:hAnsi="Liberation Sans" w:eastAsia="Liberation Sans" w:cs="Liberation Sans"/>
                <w:color w:val="232A30"/>
                <w:sz w:val="18"/>
              </w:rPr>
              <w:t xml:space="preserve"> </w:t>
            </w:r>
            <m:oMath>
              <m:r>
                <w:rPr>
                  <w:sz w:val="18"/>
                  <w:szCs w:val="18"/>
                  <w:color w:val="232A30"/>
                </w:rPr>
                <m:t>.61</m:t>
              </m:r>
            </m:oMath>
          </w:p>
        </w:tc>
        <w:tc>
          <w:tcPr>
            <w:tcW w:w="19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no validated cross-specification mapping; neither enters</w:t>
            </w:r>
            <w:r>
              <w:rPr>
                <w:rFonts w:ascii="Liberation Sans" w:hAnsi="Liberation Sans" w:eastAsia="Liberation Sans" w:cs="Liberation Sans"/>
                <w:color w:val="232A30"/>
                <w:sz w:val="18"/>
              </w:rPr>
              <w:t xml:space="preserve"> </w:t>
            </w:r>
            <m:oMath>
              <m:sSub>
                <m:e>
                  <m:r>
                    <m:rPr>
                      <m:scr m:val="script"/>
                      <m:sty m:val="p"/>
                    </m:rPr>
                    <w:rPr>
                      <w:sz w:val="18"/>
                      <w:szCs w:val="18"/>
                      <w:color w:val="232A30"/>
                    </w:rPr>
                    <m:t>P</m:t>
                  </m:r>
                </m:e>
                <m:sub>
                  <m:r>
                    <m:rPr>
                      <m:sty m:val="p"/>
                    </m:rPr>
                    <w:rPr>
                      <w:sz w:val="18"/>
                      <w:szCs w:val="18"/>
                      <w:color w:val="232A30"/>
                    </w:rPr>
                    <m:t>Θ</m:t>
                  </m:r>
                </m:sub>
              </m:sSub>
            </m:oMath>
            <w:r>
              <w:rPr>
                <w:rFonts w:ascii="Liberation Sans" w:hAnsi="Liberation Sans" w:eastAsia="Liberation Sans" w:cs="Liberation Sans"/>
                <w:color w:val="232A30"/>
                <w:sz w:val="18"/>
              </w:rPr>
              <w:t xml:space="preserve">; analyst selected X after inspecting the full score</w:t>
            </w:r>
          </w:p>
        </w:tc>
      </w:tr>
    </w:tbl>
    <w:p>
      <w:pPr>
        <w:pStyle w:val="BodyText"/>
      </w:pPr>
      <w:r>
        <w:t xml:space="preserve">Complete: applicability; each gate status; bundle status; model prediction; evidential outcome; strongest permitted conclusion; strongest forbidden inference; smallest next study.</w:t>
      </w:r>
    </w:p>
    <w:p>
      <w:pPr>
        <w:pStyle w:val="BodyText"/>
      </w:pPr>
      <w:r>
        <w:rPr>
          <w:b/>
          <w:bCs/>
        </w:rPr>
        <w:t xml:space="preserve">Accessible/digital alternative:</w:t>
      </w:r>
      <w:r>
        <w:t xml:space="preserve"> </w:t>
      </w:r>
      <w:r>
        <w:t xml:space="preserve">assign each expert one column in an accessible spreadsheet; freeze individual entries before revealing the shared verdict column.</w:t>
      </w:r>
    </w:p>
    <w:bookmarkEnd w:id="17"/>
    <w:bookmarkEnd w:id="18"/>
    <w:bookmarkStart w:id="21" w:name="X359251ac140df759a51b73b551019c6daca5a9e"/>
    <w:p>
      <w:pPr>
        <w:pStyle w:val="Heading2"/>
        <w:pageBreakBefore/>
      </w:pPr>
      <w:r>
        <w:t xml:space="preserve">Session 3 Resource. Boundary Adjudication Profiles</w:t>
      </w:r>
    </w:p>
    <w:bookmarkStart w:id="19" w:name="frozen-rules-1"/>
    <w:p>
      <w:pPr>
        <w:pStyle w:val="Heading3"/>
      </w:pPr>
      <w:r>
        <w:t xml:space="preserve">Frozen Rules</w:t>
      </w:r>
    </w:p>
    <w:p>
      <w:pPr>
        <w:pStyle w:val="Compact"/>
        <w:numPr>
          <w:ilvl w:val="0"/>
          <w:numId w:val="1005"/>
        </w:numPr>
      </w:pPr>
      <w:r>
        <w:t xml:space="preserve">Autonomy ratio</w:t>
      </w:r>
      <w:r>
        <w:t xml:space="preserve"> </w:t>
      </w:r>
      <m:oMath>
        <m:sSub>
          <m:e>
            <m:r>
              <m:t>A</m:t>
            </m:r>
          </m:e>
          <m:sub>
            <m:r>
              <m:rPr>
                <m:sty m:val="p"/>
              </m:rPr>
              <m:t>Θ</m:t>
            </m:r>
          </m:sub>
        </m:sSub>
      </m:oMath>
      <w:r>
        <w:t xml:space="preserve"> </w:t>
      </w:r>
      <w:r>
        <w:t xml:space="preserve">must be at least</w:t>
      </w:r>
      <w:r>
        <w:t xml:space="preserve"> </w:t>
      </w:r>
      <m:oMath>
        <m:r>
          <m:t>.70</m:t>
        </m:r>
      </m:oMath>
      <w:r>
        <w:t xml:space="preserve">.</w:t>
      </w:r>
    </w:p>
    <w:p>
      <w:pPr>
        <w:pStyle w:val="Compact"/>
        <w:numPr>
          <w:ilvl w:val="0"/>
          <w:numId w:val="1005"/>
        </w:numPr>
      </w:pPr>
      <w:r>
        <w:t xml:space="preserve">Absolute endogenous capacity</w:t>
      </w:r>
      <w:r>
        <w:t xml:space="preserve"> </w:t>
      </w:r>
      <m:oMath>
        <m:sSub>
          <m:e>
            <m:r>
              <m:t>J</m:t>
            </m:r>
          </m:e>
          <m:sub>
            <m:r>
              <m:rPr>
                <m:sty m:val="p"/>
              </m:rPr>
              <m:t>s</m:t>
            </m:r>
            <m:r>
              <m:rPr>
                <m:sty m:val="p"/>
              </m:rPr>
              <m:t>e</m:t>
            </m:r>
            <m:r>
              <m:rPr>
                <m:sty m:val="p"/>
              </m:rPr>
              <m:t>l</m:t>
            </m:r>
            <m:r>
              <m:rPr>
                <m:sty m:val="p"/>
              </m:rPr>
              <m:t>f</m:t>
            </m:r>
          </m:sub>
        </m:sSub>
      </m:oMath>
      <w:r>
        <w:t xml:space="preserve"> </w:t>
      </w:r>
      <w:r>
        <w:t xml:space="preserve">must be at least</w:t>
      </w:r>
      <w:r>
        <w:t xml:space="preserve"> </w:t>
      </w:r>
      <m:oMath>
        <m:r>
          <m:t>.10</m:t>
        </m:r>
      </m:oMath>
      <w:r>
        <w:t xml:space="preserve">.</w:t>
      </w:r>
    </w:p>
    <w:p>
      <w:pPr>
        <w:pStyle w:val="Compact"/>
        <w:numPr>
          <w:ilvl w:val="0"/>
          <w:numId w:val="1005"/>
        </w:numPr>
      </w:pPr>
      <w:r>
        <w:t xml:space="preserve">Candidate reliability</w:t>
      </w:r>
      <w:r>
        <w:t xml:space="preserve"> </w:t>
      </w:r>
      <m:oMath>
        <m:sSub>
          <m:e>
            <m:r>
              <m:t>R</m:t>
            </m:r>
          </m:e>
          <m:sub>
            <m:r>
              <m:t>C</m:t>
            </m:r>
          </m:sub>
        </m:sSub>
      </m:oMath>
      <w:r>
        <w:t xml:space="preserve"> </w:t>
      </w:r>
      <w:r>
        <w:t xml:space="preserve">must be at least</w:t>
      </w:r>
      <w:r>
        <w:t xml:space="preserve"> </w:t>
      </w:r>
      <m:oMath>
        <m:r>
          <m:t>.80</m:t>
        </m:r>
      </m:oMath>
      <w:r>
        <w:t xml:space="preserve"> </w:t>
      </w:r>
      <w:r>
        <w:t xml:space="preserve">for</w:t>
      </w:r>
      <w:r>
        <w:t xml:space="preserve"> </w:t>
      </w:r>
      <m:oMath>
        <m:sSub>
          <m:e>
            <m:r>
              <m:rPr>
                <m:scr m:val="script"/>
                <m:sty m:val="p"/>
              </m:rPr>
              <m:t>P</m:t>
            </m:r>
          </m:e>
          <m:sub>
            <m:r>
              <m:rPr>
                <m:sty m:val="p"/>
              </m:rPr>
              <m:t>Θ</m:t>
            </m:r>
          </m:sub>
        </m:sSub>
      </m:oMath>
      <w:r>
        <w:t xml:space="preserve"> </w:t>
      </w:r>
      <w:r>
        <w:t xml:space="preserve">membership.</w:t>
      </w:r>
    </w:p>
    <w:p>
      <w:pPr>
        <w:pStyle w:val="Compact"/>
        <w:numPr>
          <w:ilvl w:val="0"/>
          <w:numId w:val="1005"/>
        </w:numPr>
      </w:pPr>
      <w:r>
        <w:t xml:space="preserve">Final positive-boundary stability</w:t>
      </w:r>
      <w:r>
        <w:t xml:space="preserve"> </w:t>
      </w:r>
      <m:oMath>
        <m:sSub>
          <m:e>
            <m:r>
              <m:t>R</m:t>
            </m:r>
          </m:e>
          <m:sub>
            <m:r>
              <m:t>B</m:t>
            </m:r>
          </m:sub>
        </m:sSub>
      </m:oMath>
      <w:r>
        <w:t xml:space="preserve"> </w:t>
      </w:r>
      <w:r>
        <w:t xml:space="preserve">must be at least</w:t>
      </w:r>
      <w:r>
        <w:t xml:space="preserve"> </w:t>
      </w:r>
      <m:oMath>
        <m:r>
          <m:t>.80</m:t>
        </m:r>
      </m:oMath>
      <w:r>
        <w:t xml:space="preserve"> </w:t>
      </w:r>
      <w:r>
        <w:t xml:space="preserve">for a resolved positive-bearer output.</w:t>
      </w:r>
    </w:p>
    <w:p>
      <w:pPr>
        <w:pStyle w:val="Compact"/>
        <w:numPr>
          <w:ilvl w:val="0"/>
          <w:numId w:val="1005"/>
        </w:numPr>
      </w:pPr>
      <w:r>
        <w:t xml:space="preserve">Pairwise separability must be at least</w:t>
      </w:r>
      <w:r>
        <w:t xml:space="preserve"> </w:t>
      </w:r>
      <m:oMath>
        <m:r>
          <m:t>.80</m:t>
        </m:r>
      </m:oMath>
      <w:r>
        <w:t xml:space="preserve"> </w:t>
      </w:r>
      <w:r>
        <w:t xml:space="preserve">to support multiple candidates.</w:t>
      </w:r>
    </w:p>
    <w:p>
      <w:pPr>
        <w:pStyle w:val="Compact"/>
        <w:numPr>
          <w:ilvl w:val="0"/>
          <w:numId w:val="1005"/>
        </w:numPr>
      </w:pPr>
      <w:r>
        <w:t xml:space="preserve">A candidate is retained only if it is role-complete and has no qualifying proper subsystem at the same grain and horizon.</w:t>
      </w:r>
    </w:p>
    <w:p>
      <w:pPr>
        <w:pStyle w:val="FirstParagraph"/>
      </w:pPr>
      <w:r>
        <w:t xml:space="preserve">All profiles are synthetic. Role-complete means</w:t>
      </w:r>
      <w:r>
        <w:t xml:space="preserve"> </w:t>
      </w:r>
      <m:oMath>
        <m:r>
          <m:t>V</m:t>
        </m:r>
        <m:r>
          <m:rPr>
            <m:sty m:val="p"/>
          </m:rPr>
          <m:t>,</m:t>
        </m:r>
        <m:sSub>
          <m:e>
            <m:r>
              <m:t>N</m:t>
            </m:r>
          </m:e>
          <m:sub>
            <m:r>
              <m:t>1</m:t>
            </m:r>
          </m:sub>
        </m:sSub>
        <m:r>
          <m:rPr>
            <m:sty m:val="p"/>
          </m:rPr>
          <m:t>,</m:t>
        </m:r>
        <m:sSub>
          <m:e>
            <m:r>
              <m:t>N</m:t>
            </m:r>
          </m:e>
          <m:sub>
            <m:r>
              <m:t>2</m:t>
            </m:r>
          </m:sub>
        </m:sSub>
        <m:r>
          <m:rPr>
            <m:sty m:val="p"/>
          </m:rPr>
          <m:t>,</m:t>
        </m:r>
        <m:sSub>
          <m:e>
            <m:r>
              <m:t>N</m:t>
            </m:r>
          </m:e>
          <m:sub>
            <m:r>
              <m:t>3</m:t>
            </m:r>
          </m:sub>
        </m:sSub>
      </m:oMath>
      <w:r>
        <w:t xml:space="preserve"> </w:t>
      </w:r>
      <w:r>
        <w:t xml:space="preserve">pass under the Session 2 thresholds. For the core profiles, intervention support / positivity, consistency, causal-model adequacy, measurement reliability, regime stability, matched internal / external intervention budgets, and candidate-size normalization are stipulated to pass. Students must name these assumptions rather than infer them from a high autonomy ratio.</w:t>
      </w:r>
    </w:p>
    <w:bookmarkEnd w:id="19"/>
    <w:bookmarkStart w:id="20" w:name="student-materials-2"/>
    <w:p>
      <w:pPr>
        <w:pStyle w:val="Heading3"/>
      </w:pPr>
      <w:r>
        <w:t xml:space="preserve">Student Materials</w:t>
      </w:r>
    </w:p>
    <w:p>
      <w:pPr>
        <w:pStyle w:val="FirstParagraph"/>
      </w:pPr>
      <w:r>
        <w:rPr>
          <w:b/>
          <w:bCs/>
        </w:rPr>
        <w:t xml:space="preserve">Core.</w:t>
      </w:r>
      <w:r>
        <w:t xml:space="preserve"> </w:t>
      </w:r>
      <w:r>
        <w:t xml:space="preserve">Assign one profile per team.</w:t>
      </w:r>
      <w:r>
        <w:t xml:space="preserve"> </w:t>
      </w:r>
      <w:r>
        <w:rPr>
          <w:b/>
          <w:bCs/>
        </w:rPr>
        <w:t xml:space="preserve">Extension A.</w:t>
      </w:r>
      <w:r>
        <w:t xml:space="preserve"> </w:t>
      </w:r>
      <w:r>
        <w:t xml:space="preserve">Reclassify Profile D at a one-day horizon: both agents reconstruct unfinished state from the shared memory; no matched long-horizon store replacement has been run; candidate mapping across horizons is unresolved.</w:t>
      </w:r>
      <w:r>
        <w:t xml:space="preserve"> </w:t>
      </w:r>
      <w:r>
        <w:rPr>
          <w:b/>
          <w:bCs/>
        </w:rPr>
        <w:t xml:space="preserve">Extension B.</w:t>
      </w:r>
      <w:r>
        <w:t xml:space="preserve"> </w:t>
      </w:r>
      <w:r>
        <w:t xml:space="preserve">After freezing that verdict, draw one instructor-controlled audit card.</w:t>
      </w:r>
    </w:p>
    <w:tbl>
      <w:tblPr>
        <w:tblStyle w:val="Table"/>
        <w:tblW w:type="dxa" w:w="9994"/>
        <w:jc w:val="center"/>
        <w:tblLayout w:type="fixed"/>
        <w:tblLook w:firstRow="1" w:lastRow="0" w:firstColumn="0" w:lastColumn="0" w:noHBand="0" w:noVBand="0" w:val="0020"/>
      </w:tblPr>
      <w:tblGrid>
        <w:gridCol w:w="1999"/>
        <w:gridCol w:w="3598"/>
        <w:gridCol w:w="4397"/>
      </w:tblGrid>
      <w:tr>
        <w:trPr>
          <w:tblHeader w:val="on"/>
          <w:cantSplit/>
        </w:trPr>
        <w:tc>
          <w:tcPr>
            <w:tcW w:w="19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Profile</w:t>
            </w:r>
          </w:p>
        </w:tc>
        <w:tc>
          <w:tcPr>
            <w:tcW w:w="3598"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Candidate evidence</w:t>
            </w:r>
          </w:p>
        </w:tc>
        <w:tc>
          <w:tcPr>
            <w:tcW w:w="4397"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Replacement and subset evidence</w:t>
            </w:r>
          </w:p>
        </w:tc>
      </w:tr>
      <w:tr>
        <w:trPr>
          <w:cantSplit/>
        </w:trPr>
        <w:tc>
          <w:tcPr>
            <w:tcW w:w="19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A. Cardiopulmonary support, 2-second horizon</w:t>
            </w:r>
          </w:p>
        </w:tc>
        <w:tc>
          <w:tcPr>
            <w:tcW w:w="35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Brain B:</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.42</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.12</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.78</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.91</m:t>
              </m:r>
            </m:oMath>
            <w:r>
              <w:rPr>
                <w:rFonts w:ascii="Liberation Sans" w:hAnsi="Liberation Sans" w:eastAsia="Liberation Sans" w:cs="Liberation Sans"/>
                <w:color w:val="232A30"/>
                <w:sz w:val="18"/>
              </w:rPr>
              <w:t xml:space="preserve">, role-complete. Organism O:</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.55</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.20</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.73</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.89</m:t>
              </m:r>
            </m:oMath>
            <w:r>
              <w:rPr>
                <w:rFonts w:ascii="Liberation Sans" w:hAnsi="Liberation Sans" w:eastAsia="Liberation Sans" w:cs="Liberation Sans"/>
                <w:color w:val="232A30"/>
                <w:sz w:val="18"/>
              </w:rPr>
              <w:t xml:space="preserve">, role-complete.</w:t>
            </w:r>
          </w:p>
        </w:tc>
        <w:tc>
          <w:tcPr>
            <w:tcW w:w="4397"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B is a qualifying proper subsystem of O. Matched external perfusion replacement preserves B’s fast role profile. Selected B has</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B</m:t>
                  </m:r>
                </m:sub>
              </m:sSub>
              <m:r>
                <m:rPr>
                  <m:sty m:val="p"/>
                </m:rPr>
                <w:rPr>
                  <w:sz w:val="18"/>
                  <w:szCs w:val="18"/>
                  <w:color w:val="232A30"/>
                </w:rPr>
                <m:t>=</m:t>
              </m:r>
              <m:r>
                <w:rPr>
                  <w:sz w:val="18"/>
                  <w:szCs w:val="18"/>
                  <w:color w:val="232A30"/>
                </w:rPr>
                <m:t>.88</m:t>
              </m:r>
            </m:oMath>
            <w:r>
              <w:rPr>
                <w:rFonts w:ascii="Liberation Sans" w:hAnsi="Liberation Sans" w:eastAsia="Liberation Sans" w:cs="Liberation Sans"/>
                <w:color w:val="232A30"/>
                <w:sz w:val="18"/>
              </w:rPr>
              <w:t xml:space="preserve">.</w:t>
            </w:r>
          </w:p>
        </w:tc>
      </w:tr>
      <w:tr>
        <w:trPr>
          <w:cantSplit/>
        </w:trPr>
        <w:tc>
          <w:tcPr>
            <w:tcW w:w="19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B. Brain-computer interface, 10-second horizon</w:t>
            </w:r>
          </w:p>
        </w:tc>
        <w:tc>
          <w:tcPr>
            <w:tcW w:w="35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Brain B:</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.38</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.11</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.78</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.90</m:t>
              </m:r>
            </m:oMath>
            <w:r>
              <w:rPr>
                <w:rFonts w:ascii="Liberation Sans" w:hAnsi="Liberation Sans" w:eastAsia="Liberation Sans" w:cs="Liberation Sans"/>
                <w:color w:val="232A30"/>
                <w:sz w:val="18"/>
              </w:rPr>
              <w:t xml:space="preserve">, role-complete. B+I:</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.44</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.18</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.71</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.88</m:t>
              </m:r>
            </m:oMath>
            <w:r>
              <w:rPr>
                <w:rFonts w:ascii="Liberation Sans" w:hAnsi="Liberation Sans" w:eastAsia="Liberation Sans" w:cs="Liberation Sans"/>
                <w:color w:val="232A30"/>
                <w:sz w:val="18"/>
              </w:rPr>
              <w:t xml:space="preserve">, role-complete.</w:t>
            </w:r>
          </w:p>
        </w:tc>
        <w:tc>
          <w:tcPr>
            <w:tcW w:w="4397"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Generic interface replacement preserves B; B remains qualifying alone and has</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B</m:t>
                  </m:r>
                </m:sub>
              </m:sSub>
              <m:r>
                <m:rPr>
                  <m:sty m:val="p"/>
                </m:rPr>
                <w:rPr>
                  <w:sz w:val="18"/>
                  <w:szCs w:val="18"/>
                  <w:color w:val="232A30"/>
                </w:rPr>
                <m:t>=</m:t>
              </m:r>
              <m:r>
                <w:rPr>
                  <w:sz w:val="18"/>
                  <w:szCs w:val="18"/>
                  <w:color w:val="232A30"/>
                </w:rPr>
                <m:t>.87</m:t>
              </m:r>
            </m:oMath>
            <w:r>
              <w:rPr>
                <w:rFonts w:ascii="Liberation Sans" w:hAnsi="Liberation Sans" w:eastAsia="Liberation Sans" w:cs="Liberation Sans"/>
                <w:color w:val="232A30"/>
                <w:sz w:val="18"/>
              </w:rPr>
              <w:t xml:space="preserve">.</w:t>
            </w:r>
          </w:p>
        </w:tc>
      </w:tr>
      <w:tr>
        <w:trPr>
          <w:cantSplit/>
        </w:trPr>
        <w:tc>
          <w:tcPr>
            <w:tcW w:w="19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C. Organoid-controller hybrid, 30-second horizon</w:t>
            </w:r>
          </w:p>
        </w:tc>
        <w:tc>
          <w:tcPr>
            <w:tcW w:w="35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Tissue T:</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.18</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.09</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.67</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.84</m:t>
              </m:r>
            </m:oMath>
            <w:r>
              <w:rPr>
                <w:rFonts w:ascii="Liberation Sans" w:hAnsi="Liberation Sans" w:eastAsia="Liberation Sans" w:cs="Liberation Sans"/>
                <w:color w:val="232A30"/>
                <w:sz w:val="18"/>
              </w:rPr>
              <w:t xml:space="preserve">, fails</w:t>
            </w:r>
            <w:r>
              <w:rPr>
                <w:rFonts w:ascii="Liberation Sans" w:hAnsi="Liberation Sans" w:eastAsia="Liberation Sans" w:cs="Liberation Sans"/>
                <w:color w:val="232A30"/>
                <w:sz w:val="18"/>
              </w:rPr>
              <w:t xml:space="preserve"> </w:t>
            </w:r>
            <m:oMath>
              <m:sSub>
                <m:e>
                  <m:r>
                    <w:rPr>
                      <w:sz w:val="18"/>
                      <w:szCs w:val="18"/>
                      <w:color w:val="232A30"/>
                    </w:rPr>
                    <m:t>N</m:t>
                  </m:r>
                </m:e>
                <m:sub>
                  <m:r>
                    <w:rPr>
                      <w:sz w:val="18"/>
                      <w:szCs w:val="18"/>
                      <w:color w:val="232A30"/>
                    </w:rPr>
                    <m:t>3</m:t>
                  </m:r>
                </m:sub>
              </m:sSub>
            </m:oMath>
            <w:r>
              <w:rPr>
                <w:rFonts w:ascii="Liberation Sans" w:hAnsi="Liberation Sans" w:eastAsia="Liberation Sans" w:cs="Liberation Sans"/>
                <w:color w:val="232A30"/>
                <w:sz w:val="18"/>
              </w:rPr>
              <w:t xml:space="preserve">. Controller C:</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.14</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.20</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.41</m:t>
              </m:r>
            </m:oMath>
            <w:r>
              <w:rPr>
                <w:rFonts w:ascii="Liberation Sans" w:hAnsi="Liberation Sans" w:eastAsia="Liberation Sans" w:cs="Liberation Sans"/>
                <w:color w:val="232A30"/>
                <w:sz w:val="18"/>
              </w:rPr>
              <w:t xml:space="preserve">, not role-complete. T+C:</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.39</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.15</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.72</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.87</m:t>
              </m:r>
            </m:oMath>
            <w:r>
              <w:rPr>
                <w:rFonts w:ascii="Liberation Sans" w:hAnsi="Liberation Sans" w:eastAsia="Liberation Sans" w:cs="Liberation Sans"/>
                <w:color w:val="232A30"/>
                <w:sz w:val="18"/>
              </w:rPr>
              <w:t xml:space="preserve">, role-complete.</w:t>
            </w:r>
          </w:p>
        </w:tc>
        <w:tc>
          <w:tcPr>
            <w:tcW w:w="4397"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Generic controller replacement fails to restore the recurrent role. Neither subsystem qualifies; selected T+C has</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B</m:t>
                  </m:r>
                </m:sub>
              </m:sSub>
              <m:r>
                <m:rPr>
                  <m:sty m:val="p"/>
                </m:rPr>
                <w:rPr>
                  <w:sz w:val="18"/>
                  <w:szCs w:val="18"/>
                  <w:color w:val="232A30"/>
                </w:rPr>
                <m:t>=</m:t>
              </m:r>
              <m:r>
                <w:rPr>
                  <w:sz w:val="18"/>
                  <w:szCs w:val="18"/>
                  <w:color w:val="232A30"/>
                </w:rPr>
                <m:t>.84</m:t>
              </m:r>
            </m:oMath>
            <w:r>
              <w:rPr>
                <w:rFonts w:ascii="Liberation Sans" w:hAnsi="Liberation Sans" w:eastAsia="Liberation Sans" w:cs="Liberation Sans"/>
                <w:color w:val="232A30"/>
                <w:sz w:val="18"/>
              </w:rPr>
              <w:t xml:space="preserve">.</w:t>
            </w:r>
          </w:p>
        </w:tc>
      </w:tr>
      <w:tr>
        <w:trPr>
          <w:cantSplit/>
        </w:trPr>
        <w:tc>
          <w:tcPr>
            <w:tcW w:w="19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D. Adaptive dyad, 1-minute horizon</w:t>
            </w:r>
          </w:p>
        </w:tc>
        <w:tc>
          <w:tcPr>
            <w:tcW w:w="35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A:</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.31</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.08</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.79</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.90</m:t>
              </m:r>
            </m:oMath>
            <w:r>
              <w:rPr>
                <w:rFonts w:ascii="Liberation Sans" w:hAnsi="Liberation Sans" w:eastAsia="Liberation Sans" w:cs="Liberation Sans"/>
                <w:color w:val="232A30"/>
                <w:sz w:val="18"/>
              </w:rPr>
              <w:t xml:space="preserve">, role-complete. B:</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.29</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.07</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.81</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.89</m:t>
              </m:r>
            </m:oMath>
            <w:r>
              <w:rPr>
                <w:rFonts w:ascii="Liberation Sans" w:hAnsi="Liberation Sans" w:eastAsia="Liberation Sans" w:cs="Liberation Sans"/>
                <w:color w:val="232A30"/>
                <w:sz w:val="18"/>
              </w:rPr>
              <w:t xml:space="preserve">, role-complete. A+B:</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.63</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.20</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.76</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.86</m:t>
              </m:r>
            </m:oMath>
            <w:r>
              <w:rPr>
                <w:rFonts w:ascii="Liberation Sans" w:hAnsi="Liberation Sans" w:eastAsia="Liberation Sans" w:cs="Liberation Sans"/>
                <w:color w:val="232A30"/>
                <w:sz w:val="18"/>
              </w:rPr>
              <w:t xml:space="preserve">, role-complete.</w:t>
            </w:r>
          </w:p>
        </w:tc>
        <w:tc>
          <w:tcPr>
            <w:tcW w:w="4397"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A and B are qualifying subsets, with</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B</m:t>
                  </m:r>
                </m:sub>
              </m:sSub>
              <m:r>
                <m:rPr>
                  <m:sty m:val="p"/>
                </m:rPr>
                <w:rPr>
                  <w:sz w:val="18"/>
                  <w:szCs w:val="18"/>
                  <w:color w:val="232A30"/>
                </w:rPr>
                <m:t>=</m:t>
              </m:r>
              <m:r>
                <w:rPr>
                  <w:sz w:val="18"/>
                  <w:szCs w:val="18"/>
                  <w:color w:val="232A30"/>
                </w:rPr>
                <m:t>.88</m:t>
              </m:r>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and</w:t>
            </w:r>
            <w:r>
              <w:rPr>
                <w:rFonts w:ascii="Liberation Sans" w:hAnsi="Liberation Sans" w:eastAsia="Liberation Sans" w:cs="Liberation Sans"/>
                <w:color w:val="232A30"/>
                <w:sz w:val="18"/>
              </w:rPr>
              <w:t xml:space="preserve"> </w:t>
            </w:r>
            <m:oMath>
              <m:r>
                <w:rPr>
                  <w:sz w:val="18"/>
                  <w:szCs w:val="18"/>
                  <w:color w:val="232A30"/>
                </w:rPr>
                <m:t>.87</m:t>
              </m:r>
            </m:oMath>
            <w:r>
              <w:rPr>
                <w:rFonts w:ascii="Liberation Sans" w:hAnsi="Liberation Sans" w:eastAsia="Liberation Sans" w:cs="Liberation Sans"/>
                <w:color w:val="232A30"/>
                <w:sz w:val="18"/>
              </w:rPr>
              <w:t xml:space="preserve">. Reciprocal interruption gives separability</w:t>
            </w:r>
            <w:r>
              <w:rPr>
                <w:rFonts w:ascii="Liberation Sans" w:hAnsi="Liberation Sans" w:eastAsia="Liberation Sans" w:cs="Liberation Sans"/>
                <w:color w:val="232A30"/>
                <w:sz w:val="18"/>
              </w:rPr>
              <w:t xml:space="preserve"> </w:t>
            </w:r>
            <m:oMath>
              <m:r>
                <w:rPr>
                  <w:sz w:val="18"/>
                  <w:szCs w:val="18"/>
                  <w:color w:val="232A30"/>
                </w:rPr>
                <m:t>.87</m:t>
              </m:r>
            </m:oMath>
            <w:r>
              <w:rPr>
                <w:rFonts w:ascii="Liberation Sans" w:hAnsi="Liberation Sans" w:eastAsia="Liberation Sans" w:cs="Liberation Sans"/>
                <w:color w:val="232A30"/>
                <w:sz w:val="18"/>
              </w:rPr>
              <w:t xml:space="preserve">.</w:t>
            </w:r>
          </w:p>
        </w:tc>
      </w:tr>
      <w:tr>
        <w:trPr>
          <w:cantSplit/>
        </w:trPr>
        <w:tc>
          <w:tcPr>
            <w:tcW w:w="19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E. Artificial service, 100-cycle horizon</w:t>
            </w:r>
          </w:p>
        </w:tc>
        <w:tc>
          <w:tcPr>
            <w:tcW w:w="35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Model call M fails</w:t>
            </w:r>
            <w:r>
              <w:rPr>
                <w:rFonts w:ascii="Liberation Sans" w:hAnsi="Liberation Sans" w:eastAsia="Liberation Sans" w:cs="Liberation Sans"/>
                <w:color w:val="232A30"/>
                <w:sz w:val="18"/>
              </w:rPr>
              <w:t xml:space="preserve"> </w:t>
            </w:r>
            <m:oMath>
              <m:sSub>
                <m:e>
                  <m:r>
                    <w:rPr>
                      <w:sz w:val="18"/>
                      <w:szCs w:val="18"/>
                      <w:color w:val="232A30"/>
                    </w:rPr>
                    <m:t>N</m:t>
                  </m:r>
                </m:e>
                <m:sub>
                  <m:r>
                    <w:rPr>
                      <w:sz w:val="18"/>
                      <w:szCs w:val="18"/>
                      <w:color w:val="232A30"/>
                    </w:rPr>
                    <m:t>3</m:t>
                  </m:r>
                </m:sub>
              </m:sSub>
            </m:oMath>
            <w:r>
              <w:rPr>
                <w:rFonts w:ascii="Liberation Sans" w:hAnsi="Liberation Sans" w:eastAsia="Liberation Sans" w:cs="Liberation Sans"/>
                <w:color w:val="232A30"/>
                <w:sz w:val="18"/>
              </w:rPr>
              <w:t xml:space="preserve">. Agent A = model + writable state + scheduler:</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.46</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.12</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.79</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.86</m:t>
              </m:r>
            </m:oMath>
            <w:r>
              <w:rPr>
                <w:rFonts w:ascii="Liberation Sans" w:hAnsi="Liberation Sans" w:eastAsia="Liberation Sans" w:cs="Liberation Sans"/>
                <w:color w:val="232A30"/>
                <w:sz w:val="18"/>
              </w:rPr>
              <w:t xml:space="preserve">, role-complete. Full service: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s</m:t>
                  </m:r>
                  <m:r>
                    <m:rPr>
                      <m:sty m:val="p"/>
                    </m:rPr>
                    <w:rPr>
                      <w:sz w:val="18"/>
                      <w:szCs w:val="18"/>
                      <w:color w:val="232A30"/>
                    </w:rPr>
                    <m:t>e</m:t>
                  </m:r>
                  <m:r>
                    <m:rPr>
                      <m:sty m:val="p"/>
                    </m:rPr>
                    <w:rPr>
                      <w:sz w:val="18"/>
                      <w:szCs w:val="18"/>
                      <w:color w:val="232A30"/>
                    </w:rPr>
                    <m:t>l</m:t>
                  </m:r>
                  <m:r>
                    <m:rPr>
                      <m:sty m:val="p"/>
                    </m:rPr>
                    <w:rPr>
                      <w:sz w:val="18"/>
                      <w:szCs w:val="18"/>
                      <w:color w:val="232A30"/>
                    </w:rPr>
                    <m:t>f</m:t>
                  </m:r>
                </m:sub>
              </m:sSub>
              <m:r>
                <m:rPr>
                  <m:sty m:val="p"/>
                </m:rPr>
                <w:rPr>
                  <w:sz w:val="18"/>
                  <w:szCs w:val="18"/>
                  <w:color w:val="232A30"/>
                </w:rPr>
                <m:t>=</m:t>
              </m:r>
              <m:r>
                <w:rPr>
                  <w:sz w:val="18"/>
                  <w:szCs w:val="18"/>
                  <w:color w:val="232A30"/>
                </w:rPr>
                <m:t>.52</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J</m:t>
                  </m:r>
                </m:e>
                <m:sub>
                  <m:r>
                    <m:rPr>
                      <m:sty m:val="p"/>
                    </m:rPr>
                    <w:rPr>
                      <w:sz w:val="18"/>
                      <w:szCs w:val="18"/>
                      <w:color w:val="232A30"/>
                    </w:rPr>
                    <m:t>i</m:t>
                  </m:r>
                  <m:r>
                    <m:rPr>
                      <m:sty m:val="p"/>
                    </m:rPr>
                    <w:rPr>
                      <w:sz w:val="18"/>
                      <w:szCs w:val="18"/>
                      <w:color w:val="232A30"/>
                    </w:rPr>
                    <m:t>n</m:t>
                  </m:r>
                </m:sub>
              </m:sSub>
              <m:r>
                <m:rPr>
                  <m:sty m:val="p"/>
                </m:rPr>
                <w:rPr>
                  <w:sz w:val="18"/>
                  <w:szCs w:val="18"/>
                  <w:color w:val="232A30"/>
                </w:rPr>
                <m:t>=</m:t>
              </m:r>
              <m:r>
                <w:rPr>
                  <w:sz w:val="18"/>
                  <w:szCs w:val="18"/>
                  <w:color w:val="232A30"/>
                </w:rPr>
                <m:t>.20</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A</m:t>
                  </m:r>
                </m:e>
                <m:sub>
                  <m:r>
                    <m:rPr>
                      <m:sty m:val="p"/>
                    </m:rPr>
                    <w:rPr>
                      <w:sz w:val="18"/>
                      <w:szCs w:val="18"/>
                      <w:color w:val="232A30"/>
                    </w:rPr>
                    <m:t>Θ</m:t>
                  </m:r>
                </m:sub>
              </m:sSub>
              <m:r>
                <m:rPr>
                  <m:sty m:val="p"/>
                </m:rPr>
                <w:rPr>
                  <w:sz w:val="18"/>
                  <w:szCs w:val="18"/>
                  <w:color w:val="232A30"/>
                </w:rPr>
                <m:t>=</m:t>
              </m:r>
              <m:r>
                <w:rPr>
                  <w:sz w:val="18"/>
                  <w:szCs w:val="18"/>
                  <w:color w:val="232A30"/>
                </w:rPr>
                <m:t>.72</m:t>
              </m:r>
            </m:oMath>
            <w:r>
              <w:rPr>
                <w:rFonts w:ascii="Liberation Sans" w:hAnsi="Liberation Sans" w:eastAsia="Liberation Sans" w:cs="Liberation Sans"/>
                <w:color w:val="232A30"/>
                <w:sz w:val="18"/>
              </w:rPr>
              <w:t xml:space="preserve">,</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C</m:t>
                  </m:r>
                </m:sub>
              </m:sSub>
              <m:r>
                <m:rPr>
                  <m:sty m:val="p"/>
                </m:rPr>
                <w:rPr>
                  <w:sz w:val="18"/>
                  <w:szCs w:val="18"/>
                  <w:color w:val="232A30"/>
                </w:rPr>
                <m:t>=</m:t>
              </m:r>
              <m:r>
                <w:rPr>
                  <w:sz w:val="18"/>
                  <w:szCs w:val="18"/>
                  <w:color w:val="232A30"/>
                </w:rPr>
                <m:t>.84</m:t>
              </m:r>
            </m:oMath>
            <w:r>
              <w:rPr>
                <w:rFonts w:ascii="Liberation Sans" w:hAnsi="Liberation Sans" w:eastAsia="Liberation Sans" w:cs="Liberation Sans"/>
                <w:color w:val="232A30"/>
                <w:sz w:val="18"/>
              </w:rPr>
              <w:t xml:space="preserve">, role-complete.</w:t>
            </w:r>
          </w:p>
        </w:tc>
        <w:tc>
          <w:tcPr>
            <w:tcW w:w="4397"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A is a qualifying subsystem and has</w:t>
            </w:r>
            <w:r>
              <w:rPr>
                <w:rFonts w:ascii="Liberation Sans" w:hAnsi="Liberation Sans" w:eastAsia="Liberation Sans" w:cs="Liberation Sans"/>
                <w:color w:val="232A30"/>
                <w:sz w:val="18"/>
              </w:rPr>
              <w:t xml:space="preserve"> </w:t>
            </w:r>
            <m:oMath>
              <m:sSub>
                <m:e>
                  <m:r>
                    <w:rPr>
                      <w:sz w:val="18"/>
                      <w:szCs w:val="18"/>
                      <w:color w:val="232A30"/>
                    </w:rPr>
                    <m:t>R</m:t>
                  </m:r>
                </m:e>
                <m:sub>
                  <m:r>
                    <w:rPr>
                      <w:sz w:val="18"/>
                      <w:szCs w:val="18"/>
                      <w:color w:val="232A30"/>
                    </w:rPr>
                    <m:t>B</m:t>
                  </m:r>
                </m:sub>
              </m:sSub>
              <m:r>
                <m:rPr>
                  <m:sty m:val="p"/>
                </m:rPr>
                <w:rPr>
                  <w:sz w:val="18"/>
                  <w:szCs w:val="18"/>
                  <w:color w:val="232A30"/>
                </w:rPr>
                <m:t>=</m:t>
              </m:r>
              <m:r>
                <w:rPr>
                  <w:sz w:val="18"/>
                  <w:szCs w:val="18"/>
                  <w:color w:val="232A30"/>
                </w:rPr>
                <m:t>.83</m:t>
              </m:r>
            </m:oMath>
            <w:r>
              <w:rPr>
                <w:rFonts w:ascii="Liberation Sans" w:hAnsi="Liberation Sans" w:eastAsia="Liberation Sans" w:cs="Liberation Sans"/>
                <w:color w:val="232A30"/>
                <w:sz w:val="18"/>
              </w:rPr>
              <w:t xml:space="preserve">. Generic logging replacement preserves A; state-insensitive scheduler replacement fails.</w:t>
            </w:r>
          </w:p>
        </w:tc>
      </w:tr>
    </w:tbl>
    <w:p>
      <w:pPr>
        <w:pStyle w:val="BodyText"/>
      </w:pPr>
      <w:r>
        <w:t xml:space="preserve">Submit the observational universe, preferred candidate set, identification assumptions, intervention-budget and size-comparability checks, constituent/interface/support classification, minimality result, boundary status, and most informative next perturbation.</w:t>
      </w:r>
    </w:p>
    <w:p>
      <w:pPr>
        <w:pStyle w:val="BodyText"/>
      </w:pPr>
      <w:r>
        <w:rPr>
          <w:b/>
          <w:bCs/>
        </w:rPr>
        <w:t xml:space="preserve">Accessible/digital alternative:</w:t>
      </w:r>
      <w:r>
        <w:t xml:space="preserve"> </w:t>
      </w:r>
      <w:r>
        <w:t xml:space="preserve">provide one profile as a nested candidate tree and the same information as a linear list. Students may annotate either representation.</w:t>
      </w:r>
    </w:p>
    <w:bookmarkEnd w:id="20"/>
    <w:bookmarkEnd w:id="21"/>
    <w:bookmarkStart w:id="24" w:name="X2a0db3598987876b7fba91363f8a84e9d9d274b"/>
    <w:p>
      <w:pPr>
        <w:pStyle w:val="Heading2"/>
        <w:pageBreakBefore/>
      </w:pPr>
      <w:r>
        <w:t xml:space="preserve">Session 4 Resource. Selective</w:t>
      </w:r>
      <w:r>
        <w:t xml:space="preserve"> </w:t>
      </w:r>
      <m:oMath>
        <m:sSub>
          <m:e>
            <m:r>
              <m:t>N</m:t>
            </m:r>
          </m:e>
          <m:sub>
            <m:r>
              <m:t>1</m:t>
            </m:r>
          </m:sub>
        </m:sSub>
      </m:oMath>
      <w:r>
        <w:t xml:space="preserve"> </w:t>
      </w:r>
      <w:r>
        <w:t xml:space="preserve">Design Sprint</w:t>
      </w:r>
    </w:p>
    <w:bookmarkStart w:id="22" w:name="frozen-rules-and-baseline"/>
    <w:p>
      <w:pPr>
        <w:pStyle w:val="Heading3"/>
      </w:pPr>
      <w:r>
        <w:t xml:space="preserve">Frozen Rules and Baseline</w:t>
      </w:r>
    </w:p>
    <w:p>
      <w:pPr>
        <w:pStyle w:val="FirstParagraph"/>
      </w:pPr>
      <w:r>
        <w:t xml:space="preserve">All cases are synthetic. The baseline frozen</w:t>
      </w:r>
      <w:r>
        <w:t xml:space="preserve"> </w:t>
      </w:r>
      <m:oMath>
        <m:sSub>
          <m:e>
            <m:r>
              <m:rPr>
                <m:scr m:val="script"/>
                <m:sty m:val="p"/>
              </m:rPr>
              <m:t>P</m:t>
            </m:r>
          </m:e>
          <m:sub>
            <m:r>
              <m:rPr>
                <m:sty m:val="p"/>
              </m:rPr>
              <m:t>Θ</m:t>
            </m:r>
          </m:sub>
        </m:sSub>
      </m:oMath>
      <w:r>
        <w:t xml:space="preserve"> </w:t>
      </w:r>
      <w:r>
        <w:t xml:space="preserve">referent has</w:t>
      </w:r>
      <w:r>
        <w:t xml:space="preserve"> </w:t>
      </w:r>
      <m:oMath>
        <m:sSub>
          <m:e>
            <m:r>
              <m:t>R</m:t>
            </m:r>
          </m:e>
          <m:sub>
            <m:r>
              <m:t>C</m:t>
            </m:r>
          </m:sub>
        </m:sSub>
        <m:r>
          <m:rPr>
            <m:sty m:val="p"/>
          </m:rPr>
          <m:t>=</m:t>
        </m:r>
        <m:r>
          <m:t>.91</m:t>
        </m:r>
      </m:oMath>
      <w:r>
        <w:t xml:space="preserve"> </w:t>
      </w:r>
      <w:r>
        <w:t xml:space="preserve">and a separately passing cross-condition mapping;</w:t>
      </w:r>
      <w:r>
        <w:t xml:space="preserve"> </w:t>
      </w:r>
      <m:oMath>
        <m:r>
          <m:t>V</m:t>
        </m:r>
        <m:r>
          <m:rPr>
            <m:sty m:val="p"/>
          </m:rPr>
          <m:t>=</m:t>
        </m:r>
        <m:r>
          <m:t>.80</m:t>
        </m:r>
        <m:r>
          <m:rPr>
            <m:sty m:val="p"/>
          </m:rPr>
          <m:t>[</m:t>
        </m:r>
        <m:r>
          <m:t>.75</m:t>
        </m:r>
        <m:r>
          <m:rPr>
            <m:sty m:val="p"/>
          </m:rPr>
          <m:t>,</m:t>
        </m:r>
        <m:r>
          <m:t>.85</m:t>
        </m:r>
        <m:r>
          <m:rPr>
            <m:sty m:val="p"/>
          </m:rPr>
          <m:t>]</m:t>
        </m:r>
      </m:oMath>
      <w:r>
        <w:t xml:space="preserve">,</w:t>
      </w:r>
      <w:r>
        <w:t xml:space="preserve"> </w:t>
      </w:r>
      <m:oMath>
        <m:sSub>
          <m:e>
            <m:r>
              <m:t>N</m:t>
            </m:r>
          </m:e>
          <m:sub>
            <m:r>
              <m:t>1</m:t>
            </m:r>
          </m:sub>
        </m:sSub>
        <m:r>
          <m:rPr>
            <m:sty m:val="p"/>
          </m:rPr>
          <m:t>=</m:t>
        </m:r>
        <m:r>
          <m:t>.78</m:t>
        </m:r>
        <m:r>
          <m:rPr>
            <m:sty m:val="p"/>
          </m:rPr>
          <m:t>[</m:t>
        </m:r>
        <m:r>
          <m:t>.72</m:t>
        </m:r>
        <m:r>
          <m:rPr>
            <m:sty m:val="p"/>
          </m:rPr>
          <m:t>,</m:t>
        </m:r>
        <m:r>
          <m:t>.84</m:t>
        </m:r>
        <m:r>
          <m:rPr>
            <m:sty m:val="p"/>
          </m:rPr>
          <m:t>]</m:t>
        </m:r>
      </m:oMath>
      <w:r>
        <w:t xml:space="preserve">,</w:t>
      </w:r>
      <w:r>
        <w:t xml:space="preserve"> </w:t>
      </w:r>
      <m:oMath>
        <m:sSub>
          <m:e>
            <m:r>
              <m:t>N</m:t>
            </m:r>
          </m:e>
          <m:sub>
            <m:r>
              <m:t>2</m:t>
            </m:r>
          </m:sub>
        </m:sSub>
        <m:r>
          <m:rPr>
            <m:sty m:val="p"/>
          </m:rPr>
          <m:t>=</m:t>
        </m:r>
        <m:r>
          <m:t>.74</m:t>
        </m:r>
        <m:r>
          <m:rPr>
            <m:sty m:val="p"/>
          </m:rPr>
          <m:t>[</m:t>
        </m:r>
        <m:r>
          <m:t>.68</m:t>
        </m:r>
        <m:r>
          <m:rPr>
            <m:sty m:val="p"/>
          </m:rPr>
          <m:t>,</m:t>
        </m:r>
        <m:r>
          <m:t>.80</m:t>
        </m:r>
        <m:r>
          <m:rPr>
            <m:sty m:val="p"/>
          </m:rPr>
          <m:t>]</m:t>
        </m:r>
      </m:oMath>
      <w:r>
        <w:t xml:space="preserve">, and</w:t>
      </w:r>
      <w:r>
        <w:t xml:space="preserve"> </w:t>
      </w:r>
      <m:oMath>
        <m:sSub>
          <m:e>
            <m:r>
              <m:t>N</m:t>
            </m:r>
          </m:e>
          <m:sub>
            <m:r>
              <m:t>3</m:t>
            </m:r>
          </m:sub>
        </m:sSub>
        <m:r>
          <m:rPr>
            <m:sty m:val="p"/>
          </m:rPr>
          <m:t>=</m:t>
        </m:r>
        <m:r>
          <m:t>.69</m:t>
        </m:r>
        <m:r>
          <m:rPr>
            <m:sty m:val="p"/>
          </m:rPr>
          <m:t>[</m:t>
        </m:r>
        <m:r>
          <m:t>.62</m:t>
        </m:r>
        <m:r>
          <m:rPr>
            <m:sty m:val="p"/>
          </m:rPr>
          <m:t>,</m:t>
        </m:r>
        <m:r>
          <m:t>.76</m:t>
        </m:r>
        <m:r>
          <m:rPr>
            <m:sty m:val="p"/>
          </m:rPr>
          <m:t>]</m:t>
        </m:r>
      </m:oMath>
      <w:r>
        <w:t xml:space="preserve">. Use the Session 2 thresholds. All change intervals below are paired changes from the matched baseline. A retained gate is equivalent only when its full paired-change interval is contained in the closed margin</w:t>
      </w:r>
      <w:r>
        <w:t xml:space="preserve"> </w:t>
      </w:r>
      <m:oMath>
        <m:r>
          <m:rPr>
            <m:sty m:val="p"/>
          </m:rPr>
          <m:t>[</m:t>
        </m:r>
        <m:r>
          <m:rPr>
            <m:sty m:val="p"/>
          </m:rPr>
          <m:t>−</m:t>
        </m:r>
        <m:r>
          <m:t>.08</m:t>
        </m:r>
        <m:r>
          <m:rPr>
            <m:sty m:val="p"/>
          </m:rPr>
          <m:t>,</m:t>
        </m:r>
        <m:r>
          <m:t>.08</m:t>
        </m:r>
        <m:r>
          <m:rPr>
            <m:sty m:val="p"/>
          </m:rPr>
          <m:t>]</m:t>
        </m:r>
      </m:oMath>
      <w:r>
        <w:t xml:space="preserve"> </w:t>
      </w:r>
      <w:r>
        <w:t xml:space="preserve">and its post-intervention lower bound meets or exceeds threshold. The target-component license requires the complete</w:t>
      </w:r>
      <w:r>
        <w:t xml:space="preserve"> </w:t>
      </w:r>
      <m:oMath>
        <m:r>
          <m:rPr>
            <m:sty m:val="p"/>
          </m:rPr>
          <m:t>Δ</m:t>
        </m:r>
        <m:sSub>
          <m:e>
            <m:r>
              <m:t>N</m:t>
            </m:r>
          </m:e>
          <m:sub>
            <m:r>
              <m:t>1</m:t>
            </m:r>
          </m:sub>
        </m:sSub>
      </m:oMath>
      <w:r>
        <w:t xml:space="preserve"> </w:t>
      </w:r>
      <w:r>
        <w:t xml:space="preserve">interval to be at or below</w:t>
      </w:r>
      <w:r>
        <w:t xml:space="preserve"> </w:t>
      </w:r>
      <m:oMath>
        <m:r>
          <m:rPr>
            <m:sty m:val="p"/>
          </m:rPr>
          <m:t>−</m:t>
        </m:r>
        <m:r>
          <m:t>.20</m:t>
        </m:r>
      </m:oMath>
      <w:r>
        <w:t xml:space="preserve">.</w:t>
      </w:r>
    </w:p>
    <w:bookmarkEnd w:id="22"/>
    <w:bookmarkStart w:id="23" w:name="student-materials-3"/>
    <w:p>
      <w:pPr>
        <w:pStyle w:val="Heading3"/>
      </w:pPr>
      <w:r>
        <w:t xml:space="preserve">Student Materials</w:t>
      </w:r>
    </w:p>
    <w:p>
      <w:pPr>
        <w:pStyle w:val="FirstParagraph"/>
      </w:pPr>
      <w:r>
        <w:rPr>
          <w:b/>
          <w:bCs/>
        </w:rPr>
        <w:t xml:space="preserve">Core.</w:t>
      </w:r>
      <w:r>
        <w:t xml:space="preserve"> </w:t>
      </w:r>
      <w:r>
        <w:t xml:space="preserve">Select the best intervention from the table and complete a single-failure study canvas.</w:t>
      </w:r>
      <w:r>
        <w:t xml:space="preserve"> </w:t>
      </w:r>
      <w:r>
        <w:rPr>
          <w:b/>
          <w:bCs/>
        </w:rPr>
        <w:t xml:space="preserve">Extension.</w:t>
      </w:r>
      <w:r>
        <w:t xml:space="preserve"> </w:t>
      </w:r>
      <w:r>
        <w:t xml:space="preserve">Draw one complication card.</w:t>
      </w:r>
    </w:p>
    <w:tbl>
      <w:tblPr>
        <w:tblStyle w:val="Table"/>
        <w:tblW w:type="dxa" w:w="9994"/>
        <w:jc w:val="center"/>
        <w:tblLayout w:type="fixed"/>
        <w:tblLook w:firstRow="1" w:lastRow="0" w:firstColumn="0" w:lastColumn="0" w:noHBand="0" w:noVBand="0" w:val="0020"/>
      </w:tblPr>
      <w:tblGrid>
        <w:gridCol w:w="1699"/>
        <w:gridCol w:w="1099"/>
        <w:gridCol w:w="1299"/>
        <w:gridCol w:w="1299"/>
        <w:gridCol w:w="1299"/>
        <w:gridCol w:w="1299"/>
        <w:gridCol w:w="2000"/>
      </w:tblGrid>
      <w:tr>
        <w:trPr>
          <w:tblHeader w:val="on"/>
          <w:cantSplit/>
        </w:trPr>
        <w:tc>
          <w:tcPr>
            <w:tcW w:w="16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Synthetic intervention</w:t>
            </w:r>
          </w:p>
        </w:tc>
        <w:tc>
          <w:tcPr>
            <w:tcW w:w="10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R_C</w:t>
            </w:r>
            <w:r>
              <w:rPr>
                <w:rFonts w:ascii="Liberation Sans" w:hAnsi="Liberation Sans" w:eastAsia="Liberation Sans" w:cs="Liberation Sans"/>
                <w:b/>
                <w:color w:val="FFFFFF"/>
                <w:sz w:val="18"/>
              </w:rPr>
              <w:t xml:space="preserve"> </w:t>
            </w:r>
            <w:r>
              <w:rPr>
                <w:rFonts w:ascii="Liberation Sans" w:hAnsi="Liberation Sans" w:eastAsia="Liberation Sans" w:cs="Liberation Sans"/>
                <w:b/>
                <w:color w:val="FFFFFF"/>
                <w:sz w:val="18"/>
              </w:rPr>
              <w:t xml:space="preserve">/ mapping status</w:t>
            </w:r>
          </w:p>
        </w:tc>
        <w:tc>
          <w:tcPr>
            <w:tcW w:w="12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V</w:t>
            </w:r>
          </w:p>
        </w:tc>
        <w:tc>
          <w:tcPr>
            <w:tcW w:w="12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N₁</w:t>
            </w:r>
          </w:p>
        </w:tc>
        <w:tc>
          <w:tcPr>
            <w:tcW w:w="12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N₂</w:t>
            </w:r>
          </w:p>
        </w:tc>
        <w:tc>
          <w:tcPr>
            <w:tcW w:w="12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N₃</w:t>
            </w:r>
          </w:p>
        </w:tc>
        <w:tc>
          <w:tcPr>
            <w:tcW w:w="2000"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Independent anchor change</w:t>
            </w:r>
          </w:p>
        </w:tc>
      </w:tr>
      <w:tr>
        <w:trPr>
          <w:cantSplit/>
        </w:trPr>
        <w:tc>
          <w:tcPr>
            <w:tcW w:w="16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I. Cross-module phase jitter</w:t>
            </w:r>
          </w:p>
        </w:tc>
        <w:tc>
          <w:tcPr>
            <w:tcW w:w="1099" w:type="dxa"/>
            <w:vAlign w:val="center"/>
            <w:tcMar>
              <w:top w:w="70" w:type="dxa"/>
              <w:bottom w:w="70" w:type="dxa"/>
              <w:start w:w="85" w:type="dxa"/>
              <w:end w:w="85" w:type="dxa"/>
            </w:tcMar>
            <w:shd w:fill="FFFFFF" w:val="clear"/>
          </w:tcPr>
          <w:p>
            <w:pPr>
              <w:pStyle w:val="Compact"/>
              <w:spacing w:before="0" w:after="40" w:line="240" w:lineRule="auto"/>
            </w:pPr>
            <m:oMath>
              <m:r>
                <w:rPr>
                  <w:sz w:val="18"/>
                  <w:szCs w:val="18"/>
                  <w:color w:val="232A30"/>
                </w:rPr>
                <m:t>.90</m:t>
              </m:r>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 pass</w:t>
            </w:r>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.79</m:t>
              </m:r>
              <m:r>
                <m:rPr>
                  <m:sty m:val="p"/>
                </m:rPr>
                <w:rPr>
                  <w:sz w:val="18"/>
                  <w:szCs w:val="18"/>
                  <w:color w:val="232A30"/>
                </w:rPr>
                <m:t>[</m:t>
              </m:r>
              <m:r>
                <w:rPr>
                  <w:sz w:val="18"/>
                  <w:szCs w:val="18"/>
                  <w:color w:val="232A30"/>
                </w:rPr>
                <m:t>.74</m:t>
              </m:r>
              <m:r>
                <m:rPr>
                  <m:sty m:val="p"/>
                </m:rPr>
                <w:rPr>
                  <w:sz w:val="18"/>
                  <w:szCs w:val="18"/>
                  <w:color w:val="232A30"/>
                </w:rPr>
                <m:t>,</m:t>
              </m:r>
              <m:r>
                <w:rPr>
                  <w:sz w:val="18"/>
                  <w:szCs w:val="18"/>
                  <w:color w:val="232A30"/>
                </w:rPr>
                <m:t>.84</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.43</m:t>
              </m:r>
              <m:r>
                <m:rPr>
                  <m:sty m:val="p"/>
                </m:rPr>
                <w:rPr>
                  <w:sz w:val="18"/>
                  <w:szCs w:val="18"/>
                  <w:color w:val="232A30"/>
                </w:rPr>
                <m:t>[</m:t>
              </m:r>
              <m:r>
                <w:rPr>
                  <w:sz w:val="18"/>
                  <w:szCs w:val="18"/>
                  <w:color w:val="232A30"/>
                </w:rPr>
                <m:t>.38</m:t>
              </m:r>
              <m:r>
                <m:rPr>
                  <m:sty m:val="p"/>
                </m:rPr>
                <w:rPr>
                  <w:sz w:val="18"/>
                  <w:szCs w:val="18"/>
                  <w:color w:val="232A30"/>
                </w:rPr>
                <m:t>,</m:t>
              </m:r>
              <m:r>
                <w:rPr>
                  <w:sz w:val="18"/>
                  <w:szCs w:val="18"/>
                  <w:color w:val="232A30"/>
                </w:rPr>
                <m:t>.48</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.71</m:t>
              </m:r>
              <m:r>
                <m:rPr>
                  <m:sty m:val="p"/>
                </m:rPr>
                <w:rPr>
                  <w:sz w:val="18"/>
                  <w:szCs w:val="18"/>
                  <w:color w:val="232A30"/>
                </w:rPr>
                <m:t>[</m:t>
              </m:r>
              <m:r>
                <w:rPr>
                  <w:sz w:val="18"/>
                  <w:szCs w:val="18"/>
                  <w:color w:val="232A30"/>
                </w:rPr>
                <m:t>.66</m:t>
              </m:r>
              <m:r>
                <m:rPr>
                  <m:sty m:val="p"/>
                </m:rPr>
                <w:rPr>
                  <w:sz w:val="18"/>
                  <w:szCs w:val="18"/>
                  <w:color w:val="232A30"/>
                </w:rPr>
                <m:t>,</m:t>
              </m:r>
              <m:r>
                <w:rPr>
                  <w:sz w:val="18"/>
                  <w:szCs w:val="18"/>
                  <w:color w:val="232A30"/>
                </w:rPr>
                <m:t>.76</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.66</m:t>
              </m:r>
              <m:r>
                <m:rPr>
                  <m:sty m:val="p"/>
                </m:rPr>
                <w:rPr>
                  <w:sz w:val="18"/>
                  <w:szCs w:val="18"/>
                  <w:color w:val="232A30"/>
                </w:rPr>
                <m:t>[</m:t>
              </m:r>
              <m:r>
                <w:rPr>
                  <w:sz w:val="18"/>
                  <w:szCs w:val="18"/>
                  <w:color w:val="232A30"/>
                </w:rPr>
                <m:t>.60</m:t>
              </m:r>
              <m:r>
                <m:rPr>
                  <m:sty m:val="p"/>
                </m:rPr>
                <w:rPr>
                  <w:sz w:val="18"/>
                  <w:szCs w:val="18"/>
                  <w:color w:val="232A30"/>
                </w:rPr>
                <m:t>,</m:t>
              </m:r>
              <m:r>
                <w:rPr>
                  <w:sz w:val="18"/>
                  <w:szCs w:val="18"/>
                  <w:color w:val="232A30"/>
                </w:rPr>
                <m:t>.72</m:t>
              </m:r>
              <m:r>
                <m:rPr>
                  <m:sty m:val="p"/>
                </m:rPr>
                <w:rPr>
                  <w:sz w:val="18"/>
                  <w:szCs w:val="18"/>
                  <w:color w:val="232A30"/>
                </w:rPr>
                <m:t>]</m:t>
              </m:r>
            </m:oMath>
          </w:p>
        </w:tc>
        <w:tc>
          <w:tcPr>
            <w:tcW w:w="2000" w:type="dxa"/>
            <w:vAlign w:val="center"/>
            <w:tcMar>
              <w:top w:w="70" w:type="dxa"/>
              <w:bottom w:w="70" w:type="dxa"/>
              <w:start w:w="85" w:type="dxa"/>
              <w:end w:w="85" w:type="dxa"/>
            </w:tcMar>
            <w:shd w:fill="FFFFFF" w:val="clear"/>
          </w:tcPr>
          <w:p>
            <w:pPr>
              <w:pStyle w:val="Compact"/>
              <w:spacing w:before="0" w:after="40" w:line="240" w:lineRule="auto"/>
            </w:pPr>
            <m:oMath>
              <m:r>
                <m:rPr>
                  <m:sty m:val="p"/>
                </m:rPr>
                <w:rPr>
                  <w:sz w:val="18"/>
                  <w:szCs w:val="18"/>
                  <w:color w:val="232A30"/>
                </w:rPr>
                <m:t>−</m:t>
              </m:r>
              <m:r>
                <w:rPr>
                  <w:sz w:val="18"/>
                  <w:szCs w:val="18"/>
                  <w:color w:val="232A30"/>
                </w:rPr>
                <m:t>.18</m:t>
              </m:r>
              <m:r>
                <m:rPr>
                  <m:sty m:val="p"/>
                </m:rPr>
                <w:rPr>
                  <w:sz w:val="18"/>
                  <w:szCs w:val="18"/>
                  <w:color w:val="232A30"/>
                </w:rPr>
                <m:t>[</m:t>
              </m:r>
              <m:r>
                <m:rPr>
                  <m:sty m:val="p"/>
                </m:rPr>
                <w:rPr>
                  <w:sz w:val="18"/>
                  <w:szCs w:val="18"/>
                  <w:color w:val="232A30"/>
                </w:rPr>
                <m:t>−</m:t>
              </m:r>
              <m:r>
                <w:rPr>
                  <w:sz w:val="18"/>
                  <w:szCs w:val="18"/>
                  <w:color w:val="232A30"/>
                </w:rPr>
                <m:t>.25</m:t>
              </m:r>
              <m:r>
                <m:rPr>
                  <m:sty m:val="p"/>
                </m:rPr>
                <w:rPr>
                  <w:sz w:val="18"/>
                  <w:szCs w:val="18"/>
                  <w:color w:val="232A30"/>
                </w:rPr>
                <m:t>,</m:t>
              </m:r>
              <m:r>
                <m:rPr>
                  <m:sty m:val="p"/>
                </m:rPr>
                <w:rPr>
                  <w:sz w:val="18"/>
                  <w:szCs w:val="18"/>
                  <w:color w:val="232A30"/>
                </w:rPr>
                <m:t>−</m:t>
              </m:r>
              <m:r>
                <w:rPr>
                  <w:sz w:val="18"/>
                  <w:szCs w:val="18"/>
                  <w:color w:val="232A30"/>
                </w:rPr>
                <m:t>.11</m:t>
              </m:r>
              <m:r>
                <m:rPr>
                  <m:sty m:val="p"/>
                </m:rPr>
                <w:rPr>
                  <w:sz w:val="18"/>
                  <w:szCs w:val="18"/>
                  <w:color w:val="232A30"/>
                </w:rPr>
                <m:t>]</m:t>
              </m:r>
            </m:oMath>
          </w:p>
        </w:tc>
      </w:tr>
      <w:tr>
        <w:trPr>
          <w:cantSplit/>
        </w:trPr>
        <w:tc>
          <w:tcPr>
            <w:tcW w:w="16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II. Global gain suppression</w:t>
            </w:r>
          </w:p>
        </w:tc>
        <w:tc>
          <w:tcPr>
            <w:tcW w:w="1099" w:type="dxa"/>
            <w:vAlign w:val="center"/>
            <w:tcMar>
              <w:top w:w="70" w:type="dxa"/>
              <w:bottom w:w="70" w:type="dxa"/>
              <w:start w:w="85" w:type="dxa"/>
              <w:end w:w="85" w:type="dxa"/>
            </w:tcMar>
            <w:shd w:fill="F4F6F7" w:val="clear"/>
          </w:tcPr>
          <w:p>
            <w:pPr>
              <w:pStyle w:val="Compact"/>
              <w:spacing w:before="0" w:after="40" w:line="240" w:lineRule="auto"/>
            </w:pPr>
            <m:oMath>
              <m:r>
                <w:rPr>
                  <w:sz w:val="18"/>
                  <w:szCs w:val="18"/>
                  <w:color w:val="232A30"/>
                </w:rPr>
                <m:t>.84</m:t>
              </m:r>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 pass</w:t>
            </w:r>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.52</m:t>
              </m:r>
              <m:r>
                <m:rPr>
                  <m:sty m:val="p"/>
                </m:rPr>
                <w:rPr>
                  <w:sz w:val="18"/>
                  <w:szCs w:val="18"/>
                  <w:color w:val="232A30"/>
                </w:rPr>
                <m:t>[</m:t>
              </m:r>
              <m:r>
                <w:rPr>
                  <w:sz w:val="18"/>
                  <w:szCs w:val="18"/>
                  <w:color w:val="232A30"/>
                </w:rPr>
                <m:t>.46</m:t>
              </m:r>
              <m:r>
                <m:rPr>
                  <m:sty m:val="p"/>
                </m:rPr>
                <w:rPr>
                  <w:sz w:val="18"/>
                  <w:szCs w:val="18"/>
                  <w:color w:val="232A30"/>
                </w:rPr>
                <m:t>,</m:t>
              </m:r>
              <m:r>
                <w:rPr>
                  <w:sz w:val="18"/>
                  <w:szCs w:val="18"/>
                  <w:color w:val="232A30"/>
                </w:rPr>
                <m:t>.58</m:t>
              </m:r>
              <m:r>
                <m:rPr>
                  <m:sty m:val="p"/>
                </m:rPr>
                <w:rPr>
                  <w:sz w:val="18"/>
                  <w:szCs w:val="18"/>
                  <w:color w:val="232A30"/>
                </w:rPr>
                <m:t>]</m:t>
              </m:r>
            </m:oMath>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.40</m:t>
              </m:r>
              <m:r>
                <m:rPr>
                  <m:sty m:val="p"/>
                </m:rPr>
                <w:rPr>
                  <w:sz w:val="18"/>
                  <w:szCs w:val="18"/>
                  <w:color w:val="232A30"/>
                </w:rPr>
                <m:t>[</m:t>
              </m:r>
              <m:r>
                <w:rPr>
                  <w:sz w:val="18"/>
                  <w:szCs w:val="18"/>
                  <w:color w:val="232A30"/>
                </w:rPr>
                <m:t>.34</m:t>
              </m:r>
              <m:r>
                <m:rPr>
                  <m:sty m:val="p"/>
                </m:rPr>
                <w:rPr>
                  <w:sz w:val="18"/>
                  <w:szCs w:val="18"/>
                  <w:color w:val="232A30"/>
                </w:rPr>
                <m:t>,</m:t>
              </m:r>
              <m:r>
                <w:rPr>
                  <w:sz w:val="18"/>
                  <w:szCs w:val="18"/>
                  <w:color w:val="232A30"/>
                </w:rPr>
                <m:t>.46</m:t>
              </m:r>
              <m:r>
                <m:rPr>
                  <m:sty m:val="p"/>
                </m:rPr>
                <w:rPr>
                  <w:sz w:val="18"/>
                  <w:szCs w:val="18"/>
                  <w:color w:val="232A30"/>
                </w:rPr>
                <m:t>]</m:t>
              </m:r>
            </m:oMath>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.36</m:t>
              </m:r>
              <m:r>
                <m:rPr>
                  <m:sty m:val="p"/>
                </m:rPr>
                <w:rPr>
                  <w:sz w:val="18"/>
                  <w:szCs w:val="18"/>
                  <w:color w:val="232A30"/>
                </w:rPr>
                <m:t>[</m:t>
              </m:r>
              <m:r>
                <w:rPr>
                  <w:sz w:val="18"/>
                  <w:szCs w:val="18"/>
                  <w:color w:val="232A30"/>
                </w:rPr>
                <m:t>.30</m:t>
              </m:r>
              <m:r>
                <m:rPr>
                  <m:sty m:val="p"/>
                </m:rPr>
                <w:rPr>
                  <w:sz w:val="18"/>
                  <w:szCs w:val="18"/>
                  <w:color w:val="232A30"/>
                </w:rPr>
                <m:t>,</m:t>
              </m:r>
              <m:r>
                <w:rPr>
                  <w:sz w:val="18"/>
                  <w:szCs w:val="18"/>
                  <w:color w:val="232A30"/>
                </w:rPr>
                <m:t>.42</m:t>
              </m:r>
              <m:r>
                <m:rPr>
                  <m:sty m:val="p"/>
                </m:rPr>
                <w:rPr>
                  <w:sz w:val="18"/>
                  <w:szCs w:val="18"/>
                  <w:color w:val="232A30"/>
                </w:rPr>
                <m:t>]</m:t>
              </m:r>
            </m:oMath>
          </w:p>
        </w:tc>
        <w:tc>
          <w:tcPr>
            <w:tcW w:w="12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.32</m:t>
              </m:r>
              <m:r>
                <m:rPr>
                  <m:sty m:val="p"/>
                </m:rPr>
                <w:rPr>
                  <w:sz w:val="18"/>
                  <w:szCs w:val="18"/>
                  <w:color w:val="232A30"/>
                </w:rPr>
                <m:t>[</m:t>
              </m:r>
              <m:r>
                <w:rPr>
                  <w:sz w:val="18"/>
                  <w:szCs w:val="18"/>
                  <w:color w:val="232A30"/>
                </w:rPr>
                <m:t>.26</m:t>
              </m:r>
              <m:r>
                <m:rPr>
                  <m:sty m:val="p"/>
                </m:rPr>
                <w:rPr>
                  <w:sz w:val="18"/>
                  <w:szCs w:val="18"/>
                  <w:color w:val="232A30"/>
                </w:rPr>
                <m:t>,</m:t>
              </m:r>
              <m:r>
                <w:rPr>
                  <w:sz w:val="18"/>
                  <w:szCs w:val="18"/>
                  <w:color w:val="232A30"/>
                </w:rPr>
                <m:t>.38</m:t>
              </m:r>
              <m:r>
                <m:rPr>
                  <m:sty m:val="p"/>
                </m:rPr>
                <w:rPr>
                  <w:sz w:val="18"/>
                  <w:szCs w:val="18"/>
                  <w:color w:val="232A30"/>
                </w:rPr>
                <m:t>]</m:t>
              </m:r>
            </m:oMath>
          </w:p>
        </w:tc>
        <w:tc>
          <w:tcPr>
            <w:tcW w:w="2000" w:type="dxa"/>
            <w:vAlign w:val="center"/>
            <w:tcMar>
              <w:top w:w="70" w:type="dxa"/>
              <w:bottom w:w="70" w:type="dxa"/>
              <w:start w:w="85" w:type="dxa"/>
              <w:end w:w="85" w:type="dxa"/>
            </w:tcMar>
            <w:shd w:fill="F4F6F7" w:val="clear"/>
          </w:tcPr>
          <w:p>
            <w:pPr>
              <w:pStyle w:val="Compact"/>
              <w:spacing w:before="0" w:after="40" w:line="240" w:lineRule="auto"/>
            </w:pPr>
            <m:oMath>
              <m:r>
                <m:rPr>
                  <m:sty m:val="p"/>
                </m:rPr>
                <w:rPr>
                  <w:sz w:val="18"/>
                  <w:szCs w:val="18"/>
                  <w:color w:val="232A30"/>
                </w:rPr>
                <m:t>−</m:t>
              </m:r>
              <m:r>
                <w:rPr>
                  <w:sz w:val="18"/>
                  <w:szCs w:val="18"/>
                  <w:color w:val="232A30"/>
                </w:rPr>
                <m:t>.31</m:t>
              </m:r>
              <m:r>
                <m:rPr>
                  <m:sty m:val="p"/>
                </m:rPr>
                <w:rPr>
                  <w:sz w:val="18"/>
                  <w:szCs w:val="18"/>
                  <w:color w:val="232A30"/>
                </w:rPr>
                <m:t>[</m:t>
              </m:r>
              <m:r>
                <m:rPr>
                  <m:sty m:val="p"/>
                </m:rPr>
                <w:rPr>
                  <w:sz w:val="18"/>
                  <w:szCs w:val="18"/>
                  <w:color w:val="232A30"/>
                </w:rPr>
                <m:t>−</m:t>
              </m:r>
              <m:r>
                <w:rPr>
                  <w:sz w:val="18"/>
                  <w:szCs w:val="18"/>
                  <w:color w:val="232A30"/>
                </w:rPr>
                <m:t>.39</m:t>
              </m:r>
              <m:r>
                <m:rPr>
                  <m:sty m:val="p"/>
                </m:rPr>
                <w:rPr>
                  <w:sz w:val="18"/>
                  <w:szCs w:val="18"/>
                  <w:color w:val="232A30"/>
                </w:rPr>
                <m:t>,</m:t>
              </m:r>
              <m:r>
                <m:rPr>
                  <m:sty m:val="p"/>
                </m:rPr>
                <w:rPr>
                  <w:sz w:val="18"/>
                  <w:szCs w:val="18"/>
                  <w:color w:val="232A30"/>
                </w:rPr>
                <m:t>−</m:t>
              </m:r>
              <m:r>
                <w:rPr>
                  <w:sz w:val="18"/>
                  <w:szCs w:val="18"/>
                  <w:color w:val="232A30"/>
                </w:rPr>
                <m:t>.23</m:t>
              </m:r>
              <m:r>
                <m:rPr>
                  <m:sty m:val="p"/>
                </m:rPr>
                <w:rPr>
                  <w:sz w:val="18"/>
                  <w:szCs w:val="18"/>
                  <w:color w:val="232A30"/>
                </w:rPr>
                <m:t>]</m:t>
              </m:r>
            </m:oMath>
          </w:p>
        </w:tc>
      </w:tr>
      <w:tr>
        <w:trPr>
          <w:cantSplit/>
        </w:trPr>
        <w:tc>
          <w:tcPr>
            <w:tcW w:w="16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III. Common-source removal</w:t>
            </w:r>
          </w:p>
        </w:tc>
        <w:tc>
          <w:tcPr>
            <w:tcW w:w="1099" w:type="dxa"/>
            <w:vAlign w:val="center"/>
            <w:tcMar>
              <w:top w:w="70" w:type="dxa"/>
              <w:bottom w:w="70" w:type="dxa"/>
              <w:start w:w="85" w:type="dxa"/>
              <w:end w:w="85" w:type="dxa"/>
            </w:tcMar>
            <w:shd w:fill="FFFFFF" w:val="clear"/>
          </w:tcPr>
          <w:p>
            <w:pPr>
              <w:pStyle w:val="Compact"/>
              <w:spacing w:before="0" w:after="40" w:line="240" w:lineRule="auto"/>
            </w:pPr>
            <m:oMath>
              <m:r>
                <w:rPr>
                  <w:sz w:val="18"/>
                  <w:szCs w:val="18"/>
                  <w:color w:val="232A30"/>
                </w:rPr>
                <m:t>.90</m:t>
              </m:r>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 pass</w:t>
            </w:r>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.78</m:t>
              </m:r>
              <m:r>
                <m:rPr>
                  <m:sty m:val="p"/>
                </m:rPr>
                <w:rPr>
                  <w:sz w:val="18"/>
                  <w:szCs w:val="18"/>
                  <w:color w:val="232A30"/>
                </w:rPr>
                <m:t>[</m:t>
              </m:r>
              <m:r>
                <w:rPr>
                  <w:sz w:val="18"/>
                  <w:szCs w:val="18"/>
                  <w:color w:val="232A30"/>
                </w:rPr>
                <m:t>.72</m:t>
              </m:r>
              <m:r>
                <m:rPr>
                  <m:sty m:val="p"/>
                </m:rPr>
                <w:rPr>
                  <w:sz w:val="18"/>
                  <w:szCs w:val="18"/>
                  <w:color w:val="232A30"/>
                </w:rPr>
                <m:t>,</m:t>
              </m:r>
              <m:r>
                <w:rPr>
                  <w:sz w:val="18"/>
                  <w:szCs w:val="18"/>
                  <w:color w:val="232A30"/>
                </w:rPr>
                <m:t>.84</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.71</m:t>
              </m:r>
              <m:r>
                <m:rPr>
                  <m:sty m:val="p"/>
                </m:rPr>
                <w:rPr>
                  <w:sz w:val="18"/>
                  <w:szCs w:val="18"/>
                  <w:color w:val="232A30"/>
                </w:rPr>
                <m:t>[</m:t>
              </m:r>
              <m:r>
                <w:rPr>
                  <w:sz w:val="18"/>
                  <w:szCs w:val="18"/>
                  <w:color w:val="232A30"/>
                </w:rPr>
                <m:t>.65</m:t>
              </m:r>
              <m:r>
                <m:rPr>
                  <m:sty m:val="p"/>
                </m:rPr>
                <w:rPr>
                  <w:sz w:val="18"/>
                  <w:szCs w:val="18"/>
                  <w:color w:val="232A30"/>
                </w:rPr>
                <m:t>,</m:t>
              </m:r>
              <m:r>
                <w:rPr>
                  <w:sz w:val="18"/>
                  <w:szCs w:val="18"/>
                  <w:color w:val="232A30"/>
                </w:rPr>
                <m:t>.77</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.73</m:t>
              </m:r>
              <m:r>
                <m:rPr>
                  <m:sty m:val="p"/>
                </m:rPr>
                <w:rPr>
                  <w:sz w:val="18"/>
                  <w:szCs w:val="18"/>
                  <w:color w:val="232A30"/>
                </w:rPr>
                <m:t>[</m:t>
              </m:r>
              <m:r>
                <w:rPr>
                  <w:sz w:val="18"/>
                  <w:szCs w:val="18"/>
                  <w:color w:val="232A30"/>
                </w:rPr>
                <m:t>.67</m:t>
              </m:r>
              <m:r>
                <m:rPr>
                  <m:sty m:val="p"/>
                </m:rPr>
                <w:rPr>
                  <w:sz w:val="18"/>
                  <w:szCs w:val="18"/>
                  <w:color w:val="232A30"/>
                </w:rPr>
                <m:t>,</m:t>
              </m:r>
              <m:r>
                <w:rPr>
                  <w:sz w:val="18"/>
                  <w:szCs w:val="18"/>
                  <w:color w:val="232A30"/>
                </w:rPr>
                <m:t>.79</m:t>
              </m:r>
              <m:r>
                <m:rPr>
                  <m:sty m:val="p"/>
                </m:rPr>
                <w:rPr>
                  <w:sz w:val="18"/>
                  <w:szCs w:val="18"/>
                  <w:color w:val="232A30"/>
                </w:rPr>
                <m:t>]</m:t>
              </m:r>
            </m:oMath>
          </w:p>
        </w:tc>
        <w:tc>
          <w:tcPr>
            <w:tcW w:w="12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.68</m:t>
              </m:r>
              <m:r>
                <m:rPr>
                  <m:sty m:val="p"/>
                </m:rPr>
                <w:rPr>
                  <w:sz w:val="18"/>
                  <w:szCs w:val="18"/>
                  <w:color w:val="232A30"/>
                </w:rPr>
                <m:t>[</m:t>
              </m:r>
              <m:r>
                <w:rPr>
                  <w:sz w:val="18"/>
                  <w:szCs w:val="18"/>
                  <w:color w:val="232A30"/>
                </w:rPr>
                <m:t>.61</m:t>
              </m:r>
              <m:r>
                <m:rPr>
                  <m:sty m:val="p"/>
                </m:rPr>
                <w:rPr>
                  <w:sz w:val="18"/>
                  <w:szCs w:val="18"/>
                  <w:color w:val="232A30"/>
                </w:rPr>
                <m:t>,</m:t>
              </m:r>
              <m:r>
                <w:rPr>
                  <w:sz w:val="18"/>
                  <w:szCs w:val="18"/>
                  <w:color w:val="232A30"/>
                </w:rPr>
                <m:t>.75</m:t>
              </m:r>
              <m:r>
                <m:rPr>
                  <m:sty m:val="p"/>
                </m:rPr>
                <w:rPr>
                  <w:sz w:val="18"/>
                  <w:szCs w:val="18"/>
                  <w:color w:val="232A30"/>
                </w:rPr>
                <m:t>]</m:t>
              </m:r>
            </m:oMath>
          </w:p>
        </w:tc>
        <w:tc>
          <w:tcPr>
            <w:tcW w:w="2000" w:type="dxa"/>
            <w:vAlign w:val="center"/>
            <w:tcMar>
              <w:top w:w="70" w:type="dxa"/>
              <w:bottom w:w="70" w:type="dxa"/>
              <w:start w:w="85" w:type="dxa"/>
              <w:end w:w="85" w:type="dxa"/>
            </w:tcMar>
            <w:shd w:fill="FFFFFF" w:val="clear"/>
          </w:tcPr>
          <w:p>
            <w:pPr>
              <w:pStyle w:val="Compact"/>
              <w:spacing w:before="0" w:after="40" w:line="240" w:lineRule="auto"/>
            </w:pPr>
            <m:oMath>
              <m:r>
                <m:rPr>
                  <m:sty m:val="p"/>
                </m:rPr>
                <w:rPr>
                  <w:sz w:val="18"/>
                  <w:szCs w:val="18"/>
                  <w:color w:val="232A30"/>
                </w:rPr>
                <m:t>−</m:t>
              </m:r>
              <m:r>
                <w:rPr>
                  <w:sz w:val="18"/>
                  <w:szCs w:val="18"/>
                  <w:color w:val="232A30"/>
                </w:rPr>
                <m:t>.02</m:t>
              </m:r>
              <m:r>
                <m:rPr>
                  <m:sty m:val="p"/>
                </m:rPr>
                <w:rPr>
                  <w:sz w:val="18"/>
                  <w:szCs w:val="18"/>
                  <w:color w:val="232A30"/>
                </w:rPr>
                <m:t>[</m:t>
              </m:r>
              <m:r>
                <m:rPr>
                  <m:sty m:val="p"/>
                </m:rPr>
                <w:rPr>
                  <w:sz w:val="18"/>
                  <w:szCs w:val="18"/>
                  <w:color w:val="232A30"/>
                </w:rPr>
                <m:t>−</m:t>
              </m:r>
              <m:r>
                <w:rPr>
                  <w:sz w:val="18"/>
                  <w:szCs w:val="18"/>
                  <w:color w:val="232A30"/>
                </w:rPr>
                <m:t>.08</m:t>
              </m:r>
              <m:r>
                <m:rPr>
                  <m:sty m:val="p"/>
                </m:rPr>
                <w:rPr>
                  <w:sz w:val="18"/>
                  <w:szCs w:val="18"/>
                  <w:color w:val="232A30"/>
                </w:rPr>
                <m:t>,</m:t>
              </m:r>
              <m:r>
                <w:rPr>
                  <w:sz w:val="18"/>
                  <w:szCs w:val="18"/>
                  <w:color w:val="232A30"/>
                </w:rPr>
                <m:t>.04</m:t>
              </m:r>
              <m:r>
                <m:rPr>
                  <m:sty m:val="p"/>
                </m:rPr>
                <w:rPr>
                  <w:sz w:val="18"/>
                  <w:szCs w:val="18"/>
                  <w:color w:val="232A30"/>
                </w:rPr>
                <m:t>]</m:t>
              </m:r>
            </m:oMath>
          </w:p>
        </w:tc>
      </w:tr>
    </w:tbl>
    <w:p>
      <w:pPr>
        <w:pStyle w:val="BodyText"/>
      </w:pPr>
      <w:r>
        <w:t xml:space="preserve">Use these paired-change intervals for the retained-gate equivalence decision:</w:t>
      </w:r>
    </w:p>
    <w:tbl>
      <w:tblPr>
        <w:tblStyle w:val="Table"/>
        <w:tblW w:type="dxa" w:w="9994"/>
        <w:jc w:val="center"/>
        <w:tblLayout w:type="fixed"/>
        <w:tblLook w:firstRow="1" w:lastRow="0" w:firstColumn="0" w:lastColumn="0" w:noHBand="0" w:noVBand="0" w:val="0020"/>
      </w:tblPr>
      <w:tblGrid>
        <w:gridCol w:w="1799"/>
        <w:gridCol w:w="2049"/>
        <w:gridCol w:w="2049"/>
        <w:gridCol w:w="2049"/>
        <w:gridCol w:w="2048"/>
      </w:tblGrid>
      <w:tr>
        <w:trPr>
          <w:tblHeader w:val="on"/>
          <w:cantSplit/>
        </w:trPr>
        <w:tc>
          <w:tcPr>
            <w:tcW w:w="17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Intervention</w:t>
            </w:r>
          </w:p>
        </w:tc>
        <w:tc>
          <w:tcPr>
            <w:tcW w:w="204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ΔV</w:t>
            </w:r>
          </w:p>
        </w:tc>
        <w:tc>
          <w:tcPr>
            <w:tcW w:w="204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ΔN₁</w:t>
            </w:r>
          </w:p>
        </w:tc>
        <w:tc>
          <w:tcPr>
            <w:tcW w:w="204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ΔN₂</w:t>
            </w:r>
          </w:p>
        </w:tc>
        <w:tc>
          <w:tcPr>
            <w:tcW w:w="2048"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ΔN₃</w:t>
            </w:r>
          </w:p>
        </w:tc>
      </w:tr>
      <w:tr>
        <w:trPr>
          <w:cantSplit/>
        </w:trPr>
        <w:tc>
          <w:tcPr>
            <w:tcW w:w="17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I</w:t>
            </w:r>
          </w:p>
        </w:tc>
        <w:tc>
          <w:tcPr>
            <w:tcW w:w="2049" w:type="dxa"/>
            <w:vAlign w:val="center"/>
            <w:tcMar>
              <w:top w:w="70" w:type="dxa"/>
              <w:bottom w:w="70" w:type="dxa"/>
              <w:start w:w="85" w:type="dxa"/>
              <w:end w:w="85" w:type="dxa"/>
            </w:tcMar>
            <w:shd w:fill="FFFFFF"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.04</m:t>
              </m:r>
              <m:r>
                <m:rPr>
                  <m:sty m:val="p"/>
                </m:rPr>
                <w:rPr>
                  <w:sz w:val="18"/>
                  <w:szCs w:val="18"/>
                  <w:color w:val="232A30"/>
                </w:rPr>
                <m:t>,</m:t>
              </m:r>
              <m:r>
                <w:rPr>
                  <w:sz w:val="18"/>
                  <w:szCs w:val="18"/>
                  <w:color w:val="232A30"/>
                </w:rPr>
                <m:t>.02</m:t>
              </m:r>
              <m:r>
                <m:rPr>
                  <m:sty m:val="p"/>
                </m:rPr>
                <w:rPr>
                  <w:sz w:val="18"/>
                  <w:szCs w:val="18"/>
                  <w:color w:val="232A30"/>
                </w:rPr>
                <m:t>]</m:t>
              </m:r>
            </m:oMath>
          </w:p>
        </w:tc>
        <w:tc>
          <w:tcPr>
            <w:tcW w:w="2049" w:type="dxa"/>
            <w:vAlign w:val="center"/>
            <w:tcMar>
              <w:top w:w="70" w:type="dxa"/>
              <w:bottom w:w="70" w:type="dxa"/>
              <w:start w:w="85" w:type="dxa"/>
              <w:end w:w="85" w:type="dxa"/>
            </w:tcMar>
            <w:shd w:fill="FFFFFF"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.43</m:t>
              </m:r>
              <m:r>
                <m:rPr>
                  <m:sty m:val="p"/>
                </m:rPr>
                <w:rPr>
                  <w:sz w:val="18"/>
                  <w:szCs w:val="18"/>
                  <w:color w:val="232A30"/>
                </w:rPr>
                <m:t>,</m:t>
              </m:r>
              <m:r>
                <m:rPr>
                  <m:sty m:val="p"/>
                </m:rPr>
                <w:rPr>
                  <w:sz w:val="18"/>
                  <w:szCs w:val="18"/>
                  <w:color w:val="232A30"/>
                </w:rPr>
                <m:t>−</m:t>
              </m:r>
              <m:r>
                <w:rPr>
                  <w:sz w:val="18"/>
                  <w:szCs w:val="18"/>
                  <w:color w:val="232A30"/>
                </w:rPr>
                <m:t>.27</m:t>
              </m:r>
              <m:r>
                <m:rPr>
                  <m:sty m:val="p"/>
                </m:rPr>
                <w:rPr>
                  <w:sz w:val="18"/>
                  <w:szCs w:val="18"/>
                  <w:color w:val="232A30"/>
                </w:rPr>
                <m:t>]</m:t>
              </m:r>
            </m:oMath>
          </w:p>
        </w:tc>
        <w:tc>
          <w:tcPr>
            <w:tcW w:w="2049" w:type="dxa"/>
            <w:vAlign w:val="center"/>
            <w:tcMar>
              <w:top w:w="70" w:type="dxa"/>
              <w:bottom w:w="70" w:type="dxa"/>
              <w:start w:w="85" w:type="dxa"/>
              <w:end w:w="85" w:type="dxa"/>
            </w:tcMar>
            <w:shd w:fill="FFFFFF"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.07</m:t>
              </m:r>
              <m:r>
                <m:rPr>
                  <m:sty m:val="p"/>
                </m:rPr>
                <w:rPr>
                  <w:sz w:val="18"/>
                  <w:szCs w:val="18"/>
                  <w:color w:val="232A30"/>
                </w:rPr>
                <m:t>,</m:t>
              </m:r>
              <m:r>
                <w:rPr>
                  <w:sz w:val="18"/>
                  <w:szCs w:val="18"/>
                  <w:color w:val="232A30"/>
                </w:rPr>
                <m:t>.01</m:t>
              </m:r>
              <m:r>
                <m:rPr>
                  <m:sty m:val="p"/>
                </m:rPr>
                <w:rPr>
                  <w:sz w:val="18"/>
                  <w:szCs w:val="18"/>
                  <w:color w:val="232A30"/>
                </w:rPr>
                <m:t>]</m:t>
              </m:r>
            </m:oMath>
          </w:p>
        </w:tc>
        <w:tc>
          <w:tcPr>
            <w:tcW w:w="2048" w:type="dxa"/>
            <w:vAlign w:val="center"/>
            <w:tcMar>
              <w:top w:w="70" w:type="dxa"/>
              <w:bottom w:w="70" w:type="dxa"/>
              <w:start w:w="85" w:type="dxa"/>
              <w:end w:w="85" w:type="dxa"/>
            </w:tcMar>
            <w:shd w:fill="FFFFFF"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.07</m:t>
              </m:r>
              <m:r>
                <m:rPr>
                  <m:sty m:val="p"/>
                </m:rPr>
                <w:rPr>
                  <w:sz w:val="18"/>
                  <w:szCs w:val="18"/>
                  <w:color w:val="232A30"/>
                </w:rPr>
                <m:t>,</m:t>
              </m:r>
              <m:r>
                <w:rPr>
                  <w:sz w:val="18"/>
                  <w:szCs w:val="18"/>
                  <w:color w:val="232A30"/>
                </w:rPr>
                <m:t>.01</m:t>
              </m:r>
              <m:r>
                <m:rPr>
                  <m:sty m:val="p"/>
                </m:rPr>
                <w:rPr>
                  <w:sz w:val="18"/>
                  <w:szCs w:val="18"/>
                  <w:color w:val="232A30"/>
                </w:rPr>
                <m:t>]</m:t>
              </m:r>
            </m:oMath>
          </w:p>
        </w:tc>
      </w:tr>
      <w:tr>
        <w:trPr>
          <w:cantSplit/>
        </w:trPr>
        <w:tc>
          <w:tcPr>
            <w:tcW w:w="17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II</w:t>
            </w:r>
          </w:p>
        </w:tc>
        <w:tc>
          <w:tcPr>
            <w:tcW w:w="2049" w:type="dxa"/>
            <w:vAlign w:val="center"/>
            <w:tcMar>
              <w:top w:w="70" w:type="dxa"/>
              <w:bottom w:w="70" w:type="dxa"/>
              <w:start w:w="85" w:type="dxa"/>
              <w:end w:w="85" w:type="dxa"/>
            </w:tcMar>
            <w:shd w:fill="F4F6F7"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.34</m:t>
              </m:r>
              <m:r>
                <m:rPr>
                  <m:sty m:val="p"/>
                </m:rPr>
                <w:rPr>
                  <w:sz w:val="18"/>
                  <w:szCs w:val="18"/>
                  <w:color w:val="232A30"/>
                </w:rPr>
                <m:t>,</m:t>
              </m:r>
              <m:r>
                <m:rPr>
                  <m:sty m:val="p"/>
                </m:rPr>
                <w:rPr>
                  <w:sz w:val="18"/>
                  <w:szCs w:val="18"/>
                  <w:color w:val="232A30"/>
                </w:rPr>
                <m:t>−</m:t>
              </m:r>
              <m:r>
                <w:rPr>
                  <w:sz w:val="18"/>
                  <w:szCs w:val="18"/>
                  <w:color w:val="232A30"/>
                </w:rPr>
                <m:t>.22</m:t>
              </m:r>
              <m:r>
                <m:rPr>
                  <m:sty m:val="p"/>
                </m:rPr>
                <w:rPr>
                  <w:sz w:val="18"/>
                  <w:szCs w:val="18"/>
                  <w:color w:val="232A30"/>
                </w:rPr>
                <m:t>]</m:t>
              </m:r>
            </m:oMath>
          </w:p>
        </w:tc>
        <w:tc>
          <w:tcPr>
            <w:tcW w:w="2049" w:type="dxa"/>
            <w:vAlign w:val="center"/>
            <w:tcMar>
              <w:top w:w="70" w:type="dxa"/>
              <w:bottom w:w="70" w:type="dxa"/>
              <w:start w:w="85" w:type="dxa"/>
              <w:end w:w="85" w:type="dxa"/>
            </w:tcMar>
            <w:shd w:fill="F4F6F7"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.46</m:t>
              </m:r>
              <m:r>
                <m:rPr>
                  <m:sty m:val="p"/>
                </m:rPr>
                <w:rPr>
                  <w:sz w:val="18"/>
                  <w:szCs w:val="18"/>
                  <w:color w:val="232A30"/>
                </w:rPr>
                <m:t>,</m:t>
              </m:r>
              <m:r>
                <m:rPr>
                  <m:sty m:val="p"/>
                </m:rPr>
                <w:rPr>
                  <w:sz w:val="18"/>
                  <w:szCs w:val="18"/>
                  <w:color w:val="232A30"/>
                </w:rPr>
                <m:t>−</m:t>
              </m:r>
              <m:r>
                <w:rPr>
                  <w:sz w:val="18"/>
                  <w:szCs w:val="18"/>
                  <w:color w:val="232A30"/>
                </w:rPr>
                <m:t>.30</m:t>
              </m:r>
              <m:r>
                <m:rPr>
                  <m:sty m:val="p"/>
                </m:rPr>
                <w:rPr>
                  <w:sz w:val="18"/>
                  <w:szCs w:val="18"/>
                  <w:color w:val="232A30"/>
                </w:rPr>
                <m:t>]</m:t>
              </m:r>
            </m:oMath>
          </w:p>
        </w:tc>
        <w:tc>
          <w:tcPr>
            <w:tcW w:w="2049" w:type="dxa"/>
            <w:vAlign w:val="center"/>
            <w:tcMar>
              <w:top w:w="70" w:type="dxa"/>
              <w:bottom w:w="70" w:type="dxa"/>
              <w:start w:w="85" w:type="dxa"/>
              <w:end w:w="85" w:type="dxa"/>
            </w:tcMar>
            <w:shd w:fill="F4F6F7"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.44</m:t>
              </m:r>
              <m:r>
                <m:rPr>
                  <m:sty m:val="p"/>
                </m:rPr>
                <w:rPr>
                  <w:sz w:val="18"/>
                  <w:szCs w:val="18"/>
                  <w:color w:val="232A30"/>
                </w:rPr>
                <m:t>,</m:t>
              </m:r>
              <m:r>
                <m:rPr>
                  <m:sty m:val="p"/>
                </m:rPr>
                <w:rPr>
                  <w:sz w:val="18"/>
                  <w:szCs w:val="18"/>
                  <w:color w:val="232A30"/>
                </w:rPr>
                <m:t>−</m:t>
              </m:r>
              <m:r>
                <w:rPr>
                  <w:sz w:val="18"/>
                  <w:szCs w:val="18"/>
                  <w:color w:val="232A30"/>
                </w:rPr>
                <m:t>.30</m:t>
              </m:r>
              <m:r>
                <m:rPr>
                  <m:sty m:val="p"/>
                </m:rPr>
                <w:rPr>
                  <w:sz w:val="18"/>
                  <w:szCs w:val="18"/>
                  <w:color w:val="232A30"/>
                </w:rPr>
                <m:t>]</m:t>
              </m:r>
            </m:oMath>
          </w:p>
        </w:tc>
        <w:tc>
          <w:tcPr>
            <w:tcW w:w="2048" w:type="dxa"/>
            <w:vAlign w:val="center"/>
            <w:tcMar>
              <w:top w:w="70" w:type="dxa"/>
              <w:bottom w:w="70" w:type="dxa"/>
              <w:start w:w="85" w:type="dxa"/>
              <w:end w:w="85" w:type="dxa"/>
            </w:tcMar>
            <w:shd w:fill="F4F6F7"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.45</m:t>
              </m:r>
              <m:r>
                <m:rPr>
                  <m:sty m:val="p"/>
                </m:rPr>
                <w:rPr>
                  <w:sz w:val="18"/>
                  <w:szCs w:val="18"/>
                  <w:color w:val="232A30"/>
                </w:rPr>
                <m:t>,</m:t>
              </m:r>
              <m:r>
                <m:rPr>
                  <m:sty m:val="p"/>
                </m:rPr>
                <w:rPr>
                  <w:sz w:val="18"/>
                  <w:szCs w:val="18"/>
                  <w:color w:val="232A30"/>
                </w:rPr>
                <m:t>−</m:t>
              </m:r>
              <m:r>
                <w:rPr>
                  <w:sz w:val="18"/>
                  <w:szCs w:val="18"/>
                  <w:color w:val="232A30"/>
                </w:rPr>
                <m:t>.31</m:t>
              </m:r>
              <m:r>
                <m:rPr>
                  <m:sty m:val="p"/>
                </m:rPr>
                <w:rPr>
                  <w:sz w:val="18"/>
                  <w:szCs w:val="18"/>
                  <w:color w:val="232A30"/>
                </w:rPr>
                <m:t>]</m:t>
              </m:r>
            </m:oMath>
          </w:p>
        </w:tc>
      </w:tr>
      <w:tr>
        <w:trPr>
          <w:cantSplit/>
        </w:trPr>
        <w:tc>
          <w:tcPr>
            <w:tcW w:w="17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III</w:t>
            </w:r>
          </w:p>
        </w:tc>
        <w:tc>
          <w:tcPr>
            <w:tcW w:w="2049" w:type="dxa"/>
            <w:vAlign w:val="center"/>
            <w:tcMar>
              <w:top w:w="70" w:type="dxa"/>
              <w:bottom w:w="70" w:type="dxa"/>
              <w:start w:w="85" w:type="dxa"/>
              <w:end w:w="85" w:type="dxa"/>
            </w:tcMar>
            <w:shd w:fill="FFFFFF"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.05</m:t>
              </m:r>
              <m:r>
                <m:rPr>
                  <m:sty m:val="p"/>
                </m:rPr>
                <w:rPr>
                  <w:sz w:val="18"/>
                  <w:szCs w:val="18"/>
                  <w:color w:val="232A30"/>
                </w:rPr>
                <m:t>,</m:t>
              </m:r>
              <m:r>
                <w:rPr>
                  <w:sz w:val="18"/>
                  <w:szCs w:val="18"/>
                  <w:color w:val="232A30"/>
                </w:rPr>
                <m:t>.01</m:t>
              </m:r>
              <m:r>
                <m:rPr>
                  <m:sty m:val="p"/>
                </m:rPr>
                <w:rPr>
                  <w:sz w:val="18"/>
                  <w:szCs w:val="18"/>
                  <w:color w:val="232A30"/>
                </w:rPr>
                <m:t>]</m:t>
              </m:r>
            </m:oMath>
          </w:p>
        </w:tc>
        <w:tc>
          <w:tcPr>
            <w:tcW w:w="2049" w:type="dxa"/>
            <w:vAlign w:val="center"/>
            <w:tcMar>
              <w:top w:w="70" w:type="dxa"/>
              <w:bottom w:w="70" w:type="dxa"/>
              <w:start w:w="85" w:type="dxa"/>
              <w:end w:w="85" w:type="dxa"/>
            </w:tcMar>
            <w:shd w:fill="FFFFFF"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.11</m:t>
              </m:r>
              <m:r>
                <m:rPr>
                  <m:sty m:val="p"/>
                </m:rPr>
                <w:rPr>
                  <w:sz w:val="18"/>
                  <w:szCs w:val="18"/>
                  <w:color w:val="232A30"/>
                </w:rPr>
                <m:t>,</m:t>
              </m:r>
              <m:r>
                <m:rPr>
                  <m:sty m:val="p"/>
                </m:rPr>
                <w:rPr>
                  <w:sz w:val="18"/>
                  <w:szCs w:val="18"/>
                  <w:color w:val="232A30"/>
                </w:rPr>
                <m:t>−</m:t>
              </m:r>
              <m:r>
                <w:rPr>
                  <w:sz w:val="18"/>
                  <w:szCs w:val="18"/>
                  <w:color w:val="232A30"/>
                </w:rPr>
                <m:t>.03</m:t>
              </m:r>
              <m:r>
                <m:rPr>
                  <m:sty m:val="p"/>
                </m:rPr>
                <w:rPr>
                  <w:sz w:val="18"/>
                  <w:szCs w:val="18"/>
                  <w:color w:val="232A30"/>
                </w:rPr>
                <m:t>]</m:t>
              </m:r>
            </m:oMath>
          </w:p>
        </w:tc>
        <w:tc>
          <w:tcPr>
            <w:tcW w:w="2049" w:type="dxa"/>
            <w:vAlign w:val="center"/>
            <w:tcMar>
              <w:top w:w="70" w:type="dxa"/>
              <w:bottom w:w="70" w:type="dxa"/>
              <w:start w:w="85" w:type="dxa"/>
              <w:end w:w="85" w:type="dxa"/>
            </w:tcMar>
            <w:shd w:fill="FFFFFF"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.04</m:t>
              </m:r>
              <m:r>
                <m:rPr>
                  <m:sty m:val="p"/>
                </m:rPr>
                <w:rPr>
                  <w:sz w:val="18"/>
                  <w:szCs w:val="18"/>
                  <w:color w:val="232A30"/>
                </w:rPr>
                <m:t>,</m:t>
              </m:r>
              <m:r>
                <w:rPr>
                  <w:sz w:val="18"/>
                  <w:szCs w:val="18"/>
                  <w:color w:val="232A30"/>
                </w:rPr>
                <m:t>.02</m:t>
              </m:r>
              <m:r>
                <m:rPr>
                  <m:sty m:val="p"/>
                </m:rPr>
                <w:rPr>
                  <w:sz w:val="18"/>
                  <w:szCs w:val="18"/>
                  <w:color w:val="232A30"/>
                </w:rPr>
                <m:t>]</m:t>
              </m:r>
            </m:oMath>
          </w:p>
        </w:tc>
        <w:tc>
          <w:tcPr>
            <w:tcW w:w="2048" w:type="dxa"/>
            <w:vAlign w:val="center"/>
            <w:tcMar>
              <w:top w:w="70" w:type="dxa"/>
              <w:bottom w:w="70" w:type="dxa"/>
              <w:start w:w="85" w:type="dxa"/>
              <w:end w:w="85" w:type="dxa"/>
            </w:tcMar>
            <w:shd w:fill="FFFFFF" w:val="clear"/>
          </w:tcPr>
          <w:p>
            <w:pPr>
              <w:pStyle w:val="Compact"/>
              <w:spacing w:before="0" w:after="40" w:line="240" w:lineRule="auto"/>
              <w:jc w:val="center"/>
            </w:pPr>
            <m:oMath>
              <m:r>
                <m:rPr>
                  <m:sty m:val="p"/>
                </m:rPr>
                <w:rPr>
                  <w:sz w:val="18"/>
                  <w:szCs w:val="18"/>
                  <w:color w:val="232A30"/>
                </w:rPr>
                <m:t>[</m:t>
              </m:r>
              <m:r>
                <m:rPr>
                  <m:sty m:val="p"/>
                </m:rPr>
                <w:rPr>
                  <w:sz w:val="18"/>
                  <w:szCs w:val="18"/>
                  <w:color w:val="232A30"/>
                </w:rPr>
                <m:t>−</m:t>
              </m:r>
              <m:r>
                <w:rPr>
                  <w:sz w:val="18"/>
                  <w:szCs w:val="18"/>
                  <w:color w:val="232A30"/>
                </w:rPr>
                <m:t>.05</m:t>
              </m:r>
              <m:r>
                <m:rPr>
                  <m:sty m:val="p"/>
                </m:rPr>
                <w:rPr>
                  <w:sz w:val="18"/>
                  <w:szCs w:val="18"/>
                  <w:color w:val="232A30"/>
                </w:rPr>
                <m:t>,</m:t>
              </m:r>
              <m:r>
                <w:rPr>
                  <w:sz w:val="18"/>
                  <w:szCs w:val="18"/>
                  <w:color w:val="232A30"/>
                </w:rPr>
                <m:t>.03</m:t>
              </m:r>
              <m:r>
                <m:rPr>
                  <m:sty m:val="p"/>
                </m:rPr>
                <w:rPr>
                  <w:sz w:val="18"/>
                  <w:szCs w:val="18"/>
                  <w:color w:val="232A30"/>
                </w:rPr>
                <m:t>]</m:t>
              </m:r>
            </m:oMath>
          </w:p>
        </w:tc>
      </w:tr>
    </w:tbl>
    <w:p>
      <w:pPr>
        <w:pStyle w:val="BodyText"/>
      </w:pPr>
      <w:r>
        <w:t xml:space="preserve">Complete this single-failure study canvas:</w:t>
      </w:r>
    </w:p>
    <w:tbl>
      <w:tblPr>
        <w:tblStyle w:val="Table"/>
        <w:tblW w:type="dxa" w:w="9994"/>
        <w:jc w:val="center"/>
        <w:tblLayout w:type="fixed"/>
        <w:tblLook w:firstRow="1" w:lastRow="0" w:firstColumn="0" w:lastColumn="0" w:noHBand="0" w:noVBand="0" w:val="0020"/>
      </w:tblPr>
      <w:tblGrid>
        <w:gridCol w:w="4197"/>
        <w:gridCol w:w="5797"/>
      </w:tblGrid>
      <w:tr>
        <w:trPr>
          <w:tblHeader w:val="on"/>
          <w:cantSplit/>
        </w:trPr>
        <w:tc>
          <w:tcPr>
            <w:tcW w:w="4197" w:type="dxa"/>
            <w:vAlign w:val="center"/>
            <w:tcMar>
              <w:top w:w="32" w:type="dxa"/>
              <w:bottom w:w="32" w:type="dxa"/>
              <w:start w:w="70" w:type="dxa"/>
              <w:end w:w="70" w:type="dxa"/>
            </w:tcMar>
            <w:shd w:fill="1B344C" w:val="clear"/>
          </w:tcPr>
          <w:p>
            <w:pPr>
              <w:pStyle w:val="Compact"/>
              <w:spacing w:before="0" w:after="0" w:line="226" w:lineRule="auto"/>
            </w:pPr>
            <w:r>
              <w:rPr>
                <w:rFonts w:ascii="Liberation Sans" w:hAnsi="Liberation Sans" w:eastAsia="Liberation Sans" w:cs="Liberation Sans"/>
                <w:b/>
                <w:color w:val="FFFFFF"/>
                <w:sz w:val="17"/>
              </w:rPr>
              <w:t xml:space="preserve">Field</w:t>
            </w:r>
          </w:p>
        </w:tc>
        <w:tc>
          <w:tcPr>
            <w:tcW w:w="5797" w:type="dxa"/>
            <w:vAlign w:val="center"/>
            <w:tcMar>
              <w:top w:w="32" w:type="dxa"/>
              <w:bottom w:w="32" w:type="dxa"/>
              <w:start w:w="70" w:type="dxa"/>
              <w:end w:w="70" w:type="dxa"/>
            </w:tcMar>
            <w:shd w:fill="1B344C" w:val="clear"/>
          </w:tcPr>
          <w:p>
            <w:pPr>
              <w:pStyle w:val="Compact"/>
              <w:spacing w:before="0" w:after="0" w:line="226" w:lineRule="auto"/>
            </w:pPr>
            <w:r>
              <w:rPr>
                <w:rFonts w:ascii="Liberation Sans" w:hAnsi="Liberation Sans" w:eastAsia="Liberation Sans" w:cs="Liberation Sans"/>
                <w:b/>
                <w:color w:val="FFFFFF"/>
                <w:sz w:val="17"/>
              </w:rPr>
              <w:t xml:space="preserve">Team entry</w:t>
            </w:r>
          </w:p>
        </w:tc>
      </w:tr>
      <w:tr>
        <w:trPr>
          <w:cantSplit/>
        </w:trPr>
        <w:tc>
          <w:tcPr>
            <w:tcW w:w="4197" w:type="dxa"/>
            <w:vAlign w:val="center"/>
            <w:tcMar>
              <w:top w:w="32" w:type="dxa"/>
              <w:bottom w:w="32" w:type="dxa"/>
              <w:start w:w="70" w:type="dxa"/>
              <w:end w:w="70" w:type="dxa"/>
            </w:tcMar>
            <w:shd w:fill="FFFFFF" w:val="clear"/>
          </w:tcPr>
          <w:p>
            <w:pPr>
              <w:pStyle w:val="Compact"/>
              <w:spacing w:before="0" w:after="0" w:line="226" w:lineRule="auto"/>
            </w:pPr>
            <w:r>
              <w:rPr>
                <w:rFonts w:ascii="Liberation Sans" w:hAnsi="Liberation Sans" w:eastAsia="Liberation Sans" w:cs="Liberation Sans"/>
                <w:color w:val="232A30"/>
                <w:sz w:val="17"/>
              </w:rPr>
              <w:t xml:space="preserve">Exact target, candidate, regime, and horizon</w:t>
            </w:r>
          </w:p>
        </w:tc>
        <w:tc>
          <w:tcPr>
            <w:tcW w:w="5797" w:type="dxa"/>
            <w:vAlign w:val="center"/>
            <w:tcMar>
              <w:top w:w="32" w:type="dxa"/>
              <w:bottom w:w="32" w:type="dxa"/>
              <w:start w:w="70" w:type="dxa"/>
              <w:end w:w="70" w:type="dxa"/>
            </w:tcMar>
            <w:shd w:fill="FFFFFF" w:val="clear"/>
          </w:tcPr>
          <w:p>
            <w:pPr>
              <w:pStyle w:val="Compact"/>
              <w:spacing w:before="0" w:after="0" w:line="226" w:lineRule="auto"/>
            </w:pPr>
          </w:p>
        </w:tc>
      </w:tr>
      <w:tr>
        <w:trPr>
          <w:cantSplit/>
        </w:trPr>
        <w:tc>
          <w:tcPr>
            <w:tcW w:w="4197" w:type="dxa"/>
            <w:vAlign w:val="center"/>
            <w:tcMar>
              <w:top w:w="32" w:type="dxa"/>
              <w:bottom w:w="32" w:type="dxa"/>
              <w:start w:w="70" w:type="dxa"/>
              <w:end w:w="70" w:type="dxa"/>
            </w:tcMar>
            <w:shd w:fill="F4F6F7" w:val="clear"/>
          </w:tcPr>
          <w:p>
            <w:pPr>
              <w:pStyle w:val="Compact"/>
              <w:spacing w:before="0" w:after="0" w:line="226" w:lineRule="auto"/>
            </w:pPr>
            <w:r>
              <w:rPr>
                <w:rFonts w:ascii="Liberation Sans" w:hAnsi="Liberation Sans" w:eastAsia="Liberation Sans" w:cs="Liberation Sans"/>
                <w:color w:val="232A30"/>
                <w:sz w:val="17"/>
              </w:rPr>
              <w:t xml:space="preserve">Manipulation and intended</w:t>
            </w:r>
            <w:r>
              <w:rPr>
                <w:rFonts w:ascii="Liberation Sans" w:hAnsi="Liberation Sans" w:eastAsia="Liberation Sans" w:cs="Liberation Sans"/>
                <w:color w:val="232A30"/>
                <w:sz w:val="17"/>
              </w:rPr>
              <w:t xml:space="preserve"> </w:t>
            </w:r>
            <m:oMath>
              <m:sSub>
                <m:e>
                  <m:r>
                    <w:rPr>
                      <w:sz w:val="17"/>
                      <w:szCs w:val="17"/>
                      <w:color w:val="232A30"/>
                    </w:rPr>
                    <m:t>N</m:t>
                  </m:r>
                </m:e>
                <m:sub>
                  <m:r>
                    <w:rPr>
                      <w:sz w:val="17"/>
                      <w:szCs w:val="17"/>
                      <w:color w:val="232A30"/>
                    </w:rPr>
                    <m:t>1</m:t>
                  </m:r>
                </m:sub>
              </m:sSub>
            </m:oMath>
            <w:r>
              <w:rPr>
                <w:rFonts w:ascii="Liberation Sans" w:hAnsi="Liberation Sans" w:eastAsia="Liberation Sans" w:cs="Liberation Sans"/>
                <w:color w:val="232A30"/>
                <w:sz w:val="17"/>
              </w:rPr>
              <w:t xml:space="preserve"> </w:t>
            </w:r>
            <w:r>
              <w:rPr>
                <w:rFonts w:ascii="Liberation Sans" w:hAnsi="Liberation Sans" w:eastAsia="Liberation Sans" w:cs="Liberation Sans"/>
                <w:color w:val="232A30"/>
                <w:sz w:val="17"/>
              </w:rPr>
              <w:t xml:space="preserve">mechanism</w:t>
            </w:r>
          </w:p>
        </w:tc>
        <w:tc>
          <w:tcPr>
            <w:tcW w:w="5797" w:type="dxa"/>
            <w:vAlign w:val="center"/>
            <w:tcMar>
              <w:top w:w="32" w:type="dxa"/>
              <w:bottom w:w="32" w:type="dxa"/>
              <w:start w:w="70" w:type="dxa"/>
              <w:end w:w="70" w:type="dxa"/>
            </w:tcMar>
            <w:shd w:fill="F4F6F7" w:val="clear"/>
          </w:tcPr>
          <w:p>
            <w:pPr>
              <w:pStyle w:val="Compact"/>
              <w:spacing w:before="0" w:after="0" w:line="226" w:lineRule="auto"/>
            </w:pPr>
          </w:p>
        </w:tc>
      </w:tr>
      <w:tr>
        <w:trPr>
          <w:cantSplit/>
        </w:trPr>
        <w:tc>
          <w:tcPr>
            <w:tcW w:w="4197" w:type="dxa"/>
            <w:vAlign w:val="center"/>
            <w:tcMar>
              <w:top w:w="32" w:type="dxa"/>
              <w:bottom w:w="32" w:type="dxa"/>
              <w:start w:w="70" w:type="dxa"/>
              <w:end w:w="70" w:type="dxa"/>
            </w:tcMar>
            <w:shd w:fill="FFFFFF" w:val="clear"/>
          </w:tcPr>
          <w:p>
            <w:pPr>
              <w:pStyle w:val="Compact"/>
              <w:spacing w:before="0" w:after="0" w:line="226" w:lineRule="auto"/>
            </w:pPr>
            <m:oMath>
              <m:sSub>
                <m:e>
                  <m:r>
                    <w:rPr>
                      <w:sz w:val="17"/>
                      <w:szCs w:val="17"/>
                      <w:color w:val="232A30"/>
                    </w:rPr>
                    <m:t>N</m:t>
                  </m:r>
                </m:e>
                <m:sub>
                  <m:r>
                    <w:rPr>
                      <w:sz w:val="17"/>
                      <w:szCs w:val="17"/>
                      <w:color w:val="232A30"/>
                    </w:rPr>
                    <m:t>1</m:t>
                  </m:r>
                </m:sub>
              </m:sSub>
            </m:oMath>
            <w:r>
              <w:rPr>
                <w:rFonts w:ascii="Liberation Sans" w:hAnsi="Liberation Sans" w:eastAsia="Liberation Sans" w:cs="Liberation Sans"/>
                <w:color w:val="232A30"/>
                <w:sz w:val="17"/>
              </w:rPr>
              <w:t xml:space="preserve"> </w:t>
            </w:r>
            <w:r>
              <w:rPr>
                <w:rFonts w:ascii="Liberation Sans" w:hAnsi="Liberation Sans" w:eastAsia="Liberation Sans" w:cs="Liberation Sans"/>
                <w:color w:val="232A30"/>
                <w:sz w:val="17"/>
              </w:rPr>
              <w:t xml:space="preserve">change and meaningful-change rule</w:t>
            </w:r>
          </w:p>
        </w:tc>
        <w:tc>
          <w:tcPr>
            <w:tcW w:w="5797" w:type="dxa"/>
            <w:vAlign w:val="center"/>
            <w:tcMar>
              <w:top w:w="32" w:type="dxa"/>
              <w:bottom w:w="32" w:type="dxa"/>
              <w:start w:w="70" w:type="dxa"/>
              <w:end w:w="70" w:type="dxa"/>
            </w:tcMar>
            <w:shd w:fill="FFFFFF" w:val="clear"/>
          </w:tcPr>
          <w:p>
            <w:pPr>
              <w:pStyle w:val="Compact"/>
              <w:spacing w:before="0" w:after="0" w:line="226" w:lineRule="auto"/>
            </w:pPr>
          </w:p>
        </w:tc>
      </w:tr>
      <w:tr>
        <w:trPr>
          <w:cantSplit/>
        </w:trPr>
        <w:tc>
          <w:tcPr>
            <w:tcW w:w="4197" w:type="dxa"/>
            <w:vAlign w:val="center"/>
            <w:tcMar>
              <w:top w:w="32" w:type="dxa"/>
              <w:bottom w:w="32" w:type="dxa"/>
              <w:start w:w="70" w:type="dxa"/>
              <w:end w:w="70" w:type="dxa"/>
            </w:tcMar>
            <w:shd w:fill="F4F6F7" w:val="clear"/>
          </w:tcPr>
          <w:p>
            <w:pPr>
              <w:pStyle w:val="Compact"/>
              <w:spacing w:before="0" w:after="0" w:line="226" w:lineRule="auto"/>
            </w:pPr>
            <w:r>
              <w:rPr>
                <w:rFonts w:ascii="Liberation Sans" w:hAnsi="Liberation Sans" w:eastAsia="Liberation Sans" w:cs="Liberation Sans"/>
                <w:color w:val="232A30"/>
                <w:sz w:val="17"/>
              </w:rPr>
              <w:t xml:space="preserve">Frozen-referent and retained-gate equivalence checks; what follows about</w:t>
            </w:r>
            <w:r>
              <w:rPr>
                <w:rFonts w:ascii="Liberation Sans" w:hAnsi="Liberation Sans" w:eastAsia="Liberation Sans" w:cs="Liberation Sans"/>
                <w:color w:val="232A30"/>
                <w:sz w:val="17"/>
              </w:rPr>
              <w:t xml:space="preserve"> </w:t>
            </w:r>
            <m:oMath>
              <m:sSup>
                <m:e>
                  <m:r>
                    <m:rPr>
                      <m:scr m:val="script"/>
                      <m:sty m:val="p"/>
                    </m:rPr>
                    <w:rPr>
                      <w:sz w:val="17"/>
                      <w:szCs w:val="17"/>
                      <w:color w:val="232A30"/>
                    </w:rPr>
                    <m:t>B</m:t>
                  </m:r>
                </m:e>
                <m:sup>
                  <m:r>
                    <m:rPr>
                      <m:sty m:val="p"/>
                    </m:rPr>
                    <w:rPr>
                      <w:sz w:val="17"/>
                      <w:szCs w:val="17"/>
                      <w:color w:val="232A30"/>
                    </w:rPr>
                    <m:t>+</m:t>
                  </m:r>
                </m:sup>
              </m:sSup>
            </m:oMath>
            <w:r>
              <w:rPr>
                <w:rFonts w:ascii="Liberation Sans" w:hAnsi="Liberation Sans" w:eastAsia="Liberation Sans" w:cs="Liberation Sans"/>
                <w:color w:val="232A30"/>
                <w:sz w:val="17"/>
              </w:rPr>
              <w:t xml:space="preserve"> </w:t>
            </w:r>
            <w:r>
              <w:rPr>
                <w:rFonts w:ascii="Liberation Sans" w:hAnsi="Liberation Sans" w:eastAsia="Liberation Sans" w:cs="Liberation Sans"/>
                <w:color w:val="232A30"/>
                <w:sz w:val="17"/>
              </w:rPr>
              <w:t xml:space="preserve">and what remains underdetermined</w:t>
            </w:r>
          </w:p>
        </w:tc>
        <w:tc>
          <w:tcPr>
            <w:tcW w:w="5797" w:type="dxa"/>
            <w:vAlign w:val="center"/>
            <w:tcMar>
              <w:top w:w="32" w:type="dxa"/>
              <w:bottom w:w="32" w:type="dxa"/>
              <w:start w:w="70" w:type="dxa"/>
              <w:end w:w="70" w:type="dxa"/>
            </w:tcMar>
            <w:shd w:fill="F4F6F7" w:val="clear"/>
          </w:tcPr>
          <w:p>
            <w:pPr>
              <w:pStyle w:val="Compact"/>
              <w:spacing w:before="0" w:after="0" w:line="226" w:lineRule="auto"/>
            </w:pPr>
          </w:p>
        </w:tc>
      </w:tr>
      <w:tr>
        <w:trPr>
          <w:cantSplit/>
        </w:trPr>
        <w:tc>
          <w:tcPr>
            <w:tcW w:w="4197" w:type="dxa"/>
            <w:vAlign w:val="center"/>
            <w:tcMar>
              <w:top w:w="32" w:type="dxa"/>
              <w:bottom w:w="32" w:type="dxa"/>
              <w:start w:w="70" w:type="dxa"/>
              <w:end w:w="70" w:type="dxa"/>
            </w:tcMar>
            <w:shd w:fill="FFFFFF" w:val="clear"/>
          </w:tcPr>
          <w:p>
            <w:pPr>
              <w:pStyle w:val="Compact"/>
              <w:spacing w:before="0" w:after="0" w:line="226" w:lineRule="auto"/>
            </w:pPr>
            <w:r>
              <w:rPr>
                <w:rFonts w:ascii="Liberation Sans" w:hAnsi="Liberation Sans" w:eastAsia="Liberation Sans" w:cs="Liberation Sans"/>
                <w:color w:val="232A30"/>
                <w:sz w:val="17"/>
              </w:rPr>
              <w:t xml:space="preserve">Anchor genealogy and independence firewall</w:t>
            </w:r>
          </w:p>
        </w:tc>
        <w:tc>
          <w:tcPr>
            <w:tcW w:w="5797" w:type="dxa"/>
            <w:vAlign w:val="center"/>
            <w:tcMar>
              <w:top w:w="32" w:type="dxa"/>
              <w:bottom w:w="32" w:type="dxa"/>
              <w:start w:w="70" w:type="dxa"/>
              <w:end w:w="70" w:type="dxa"/>
            </w:tcMar>
            <w:shd w:fill="FFFFFF" w:val="clear"/>
          </w:tcPr>
          <w:p>
            <w:pPr>
              <w:pStyle w:val="Compact"/>
              <w:spacing w:before="0" w:after="0" w:line="226" w:lineRule="auto"/>
            </w:pPr>
          </w:p>
        </w:tc>
      </w:tr>
      <w:tr>
        <w:trPr>
          <w:cantSplit/>
        </w:trPr>
        <w:tc>
          <w:tcPr>
            <w:tcW w:w="4197" w:type="dxa"/>
            <w:vAlign w:val="center"/>
            <w:tcMar>
              <w:top w:w="32" w:type="dxa"/>
              <w:bottom w:w="32" w:type="dxa"/>
              <w:start w:w="70" w:type="dxa"/>
              <w:end w:w="70" w:type="dxa"/>
            </w:tcMar>
            <w:shd w:fill="F4F6F7" w:val="clear"/>
          </w:tcPr>
          <w:p>
            <w:pPr>
              <w:pStyle w:val="Compact"/>
              <w:spacing w:before="0" w:after="0" w:line="226" w:lineRule="auto"/>
            </w:pPr>
            <w:r>
              <w:rPr>
                <w:rFonts w:ascii="Liberation Sans" w:hAnsi="Liberation Sans" w:eastAsia="Liberation Sans" w:cs="Liberation Sans"/>
                <w:color w:val="232A30"/>
                <w:sz w:val="17"/>
              </w:rPr>
              <w:t xml:space="preserve">Full-model prediction</w:t>
            </w:r>
          </w:p>
        </w:tc>
        <w:tc>
          <w:tcPr>
            <w:tcW w:w="5797" w:type="dxa"/>
            <w:vAlign w:val="center"/>
            <w:tcMar>
              <w:top w:w="32" w:type="dxa"/>
              <w:bottom w:w="32" w:type="dxa"/>
              <w:start w:w="70" w:type="dxa"/>
              <w:end w:w="70" w:type="dxa"/>
            </w:tcMar>
            <w:shd w:fill="F4F6F7" w:val="clear"/>
          </w:tcPr>
          <w:p>
            <w:pPr>
              <w:pStyle w:val="Compact"/>
              <w:spacing w:before="0" w:after="0" w:line="226" w:lineRule="auto"/>
            </w:pPr>
          </w:p>
        </w:tc>
      </w:tr>
      <w:tr>
        <w:trPr>
          <w:cantSplit/>
        </w:trPr>
        <w:tc>
          <w:tcPr>
            <w:tcW w:w="4197" w:type="dxa"/>
            <w:vAlign w:val="center"/>
            <w:tcMar>
              <w:top w:w="32" w:type="dxa"/>
              <w:bottom w:w="32" w:type="dxa"/>
              <w:start w:w="70" w:type="dxa"/>
              <w:end w:w="70" w:type="dxa"/>
            </w:tcMar>
            <w:shd w:fill="FFFFFF" w:val="clear"/>
          </w:tcPr>
          <w:p>
            <w:pPr>
              <w:pStyle w:val="Compact"/>
              <w:spacing w:before="0" w:after="0" w:line="226" w:lineRule="auto"/>
            </w:pPr>
            <m:oMath>
              <m:sSub>
                <m:e>
                  <m:r>
                    <w:rPr>
                      <w:sz w:val="17"/>
                      <w:szCs w:val="17"/>
                      <w:color w:val="232A30"/>
                    </w:rPr>
                    <m:t>N</m:t>
                  </m:r>
                </m:e>
                <m:sub>
                  <m:r>
                    <w:rPr>
                      <w:sz w:val="17"/>
                      <w:szCs w:val="17"/>
                      <w:color w:val="232A30"/>
                    </w:rPr>
                    <m:t>1</m:t>
                  </m:r>
                </m:sub>
              </m:sSub>
            </m:oMath>
            <w:r>
              <w:rPr>
                <w:rFonts w:ascii="Liberation Sans" w:hAnsi="Liberation Sans" w:eastAsia="Liberation Sans" w:cs="Liberation Sans"/>
                <w:color w:val="232A30"/>
                <w:sz w:val="17"/>
              </w:rPr>
              <w:t xml:space="preserve">-ablated rival prediction</w:t>
            </w:r>
          </w:p>
        </w:tc>
        <w:tc>
          <w:tcPr>
            <w:tcW w:w="5797" w:type="dxa"/>
            <w:vAlign w:val="center"/>
            <w:tcMar>
              <w:top w:w="32" w:type="dxa"/>
              <w:bottom w:w="32" w:type="dxa"/>
              <w:start w:w="70" w:type="dxa"/>
              <w:end w:w="70" w:type="dxa"/>
            </w:tcMar>
            <w:shd w:fill="FFFFFF" w:val="clear"/>
          </w:tcPr>
          <w:p>
            <w:pPr>
              <w:pStyle w:val="Compact"/>
              <w:spacing w:before="0" w:after="0" w:line="226" w:lineRule="auto"/>
            </w:pPr>
          </w:p>
        </w:tc>
      </w:tr>
      <w:tr>
        <w:trPr>
          <w:cantSplit/>
        </w:trPr>
        <w:tc>
          <w:tcPr>
            <w:tcW w:w="4197" w:type="dxa"/>
            <w:vAlign w:val="center"/>
            <w:tcMar>
              <w:top w:w="32" w:type="dxa"/>
              <w:bottom w:w="32" w:type="dxa"/>
              <w:start w:w="70" w:type="dxa"/>
              <w:end w:w="70" w:type="dxa"/>
            </w:tcMar>
            <w:shd w:fill="F4F6F7" w:val="clear"/>
          </w:tcPr>
          <w:p>
            <w:pPr>
              <w:pStyle w:val="Compact"/>
              <w:spacing w:before="0" w:after="0" w:line="226" w:lineRule="auto"/>
            </w:pPr>
            <w:r>
              <w:rPr>
                <w:rFonts w:ascii="Liberation Sans" w:hAnsi="Liberation Sans" w:eastAsia="Liberation Sans" w:cs="Liberation Sans"/>
                <w:color w:val="232A30"/>
                <w:sz w:val="17"/>
              </w:rPr>
              <w:t xml:space="preserve">Negative control and pathway-specific rescue</w:t>
            </w:r>
          </w:p>
        </w:tc>
        <w:tc>
          <w:tcPr>
            <w:tcW w:w="5797" w:type="dxa"/>
            <w:vAlign w:val="center"/>
            <w:tcMar>
              <w:top w:w="32" w:type="dxa"/>
              <w:bottom w:w="32" w:type="dxa"/>
              <w:start w:w="70" w:type="dxa"/>
              <w:end w:w="70" w:type="dxa"/>
            </w:tcMar>
            <w:shd w:fill="F4F6F7" w:val="clear"/>
          </w:tcPr>
          <w:p>
            <w:pPr>
              <w:pStyle w:val="Compact"/>
              <w:spacing w:before="0" w:after="0" w:line="226" w:lineRule="auto"/>
            </w:pPr>
          </w:p>
        </w:tc>
      </w:tr>
      <w:tr>
        <w:trPr>
          <w:cantSplit/>
        </w:trPr>
        <w:tc>
          <w:tcPr>
            <w:tcW w:w="4197" w:type="dxa"/>
            <w:vAlign w:val="center"/>
            <w:tcMar>
              <w:top w:w="32" w:type="dxa"/>
              <w:bottom w:w="32" w:type="dxa"/>
              <w:start w:w="70" w:type="dxa"/>
              <w:end w:w="70" w:type="dxa"/>
            </w:tcMar>
            <w:shd w:fill="FFFFFF" w:val="clear"/>
          </w:tcPr>
          <w:p>
            <w:pPr>
              <w:pStyle w:val="Compact"/>
              <w:spacing w:before="0" w:after="0" w:line="226" w:lineRule="auto"/>
            </w:pPr>
            <w:r>
              <w:rPr>
                <w:rFonts w:ascii="Liberation Sans" w:hAnsi="Liberation Sans" w:eastAsia="Liberation Sans" w:cs="Liberation Sans"/>
                <w:color w:val="232A30"/>
                <w:sz w:val="17"/>
              </w:rPr>
              <w:t xml:space="preserve">Licensed status and scope</w:t>
            </w:r>
          </w:p>
        </w:tc>
        <w:tc>
          <w:tcPr>
            <w:tcW w:w="5797" w:type="dxa"/>
            <w:vAlign w:val="center"/>
            <w:tcMar>
              <w:top w:w="32" w:type="dxa"/>
              <w:bottom w:w="32" w:type="dxa"/>
              <w:start w:w="70" w:type="dxa"/>
              <w:end w:w="70" w:type="dxa"/>
            </w:tcMar>
            <w:shd w:fill="FFFFFF" w:val="clear"/>
          </w:tcPr>
          <w:p>
            <w:pPr>
              <w:pStyle w:val="Compact"/>
              <w:spacing w:before="0" w:after="0" w:line="226" w:lineRule="auto"/>
            </w:pPr>
          </w:p>
        </w:tc>
      </w:tr>
      <w:tr>
        <w:trPr>
          <w:cantSplit/>
        </w:trPr>
        <w:tc>
          <w:tcPr>
            <w:tcW w:w="4197" w:type="dxa"/>
            <w:vAlign w:val="center"/>
            <w:tcMar>
              <w:top w:w="32" w:type="dxa"/>
              <w:bottom w:w="32" w:type="dxa"/>
              <w:start w:w="70" w:type="dxa"/>
              <w:end w:w="70" w:type="dxa"/>
            </w:tcMar>
            <w:shd w:fill="F4F6F7" w:val="clear"/>
          </w:tcPr>
          <w:p>
            <w:pPr>
              <w:pStyle w:val="Compact"/>
              <w:spacing w:before="0" w:after="0" w:line="226" w:lineRule="auto"/>
            </w:pPr>
            <w:r>
              <w:rPr>
                <w:rFonts w:ascii="Liberation Sans" w:hAnsi="Liberation Sans" w:eastAsia="Liberation Sans" w:cs="Liberation Sans"/>
                <w:color w:val="232A30"/>
                <w:sz w:val="17"/>
              </w:rPr>
              <w:t xml:space="preserve">Result that would remain inconclusive</w:t>
            </w:r>
          </w:p>
        </w:tc>
        <w:tc>
          <w:tcPr>
            <w:tcW w:w="5797" w:type="dxa"/>
            <w:vAlign w:val="center"/>
            <w:tcMar>
              <w:top w:w="32" w:type="dxa"/>
              <w:bottom w:w="32" w:type="dxa"/>
              <w:start w:w="70" w:type="dxa"/>
              <w:end w:w="70" w:type="dxa"/>
            </w:tcMar>
            <w:shd w:fill="F4F6F7" w:val="clear"/>
          </w:tcPr>
          <w:p>
            <w:pPr>
              <w:pStyle w:val="Compact"/>
              <w:spacing w:before="0" w:after="0" w:line="226" w:lineRule="auto"/>
            </w:pPr>
          </w:p>
        </w:tc>
      </w:tr>
    </w:tbl>
    <w:p>
      <w:pPr>
        <w:pStyle w:val="BodyText"/>
      </w:pPr>
      <w:r>
        <w:rPr>
          <w:b/>
          <w:bCs/>
        </w:rPr>
        <w:t xml:space="preserve">Accessible/digital alternative:</w:t>
      </w:r>
      <w:r>
        <w:t xml:space="preserve"> </w:t>
      </w:r>
      <w:r>
        <w:t xml:space="preserve">reveal the complication as a private LMS message. A student may submit a written selectivity audit instead of presenting the design orally.</w:t>
      </w:r>
    </w:p>
    <w:bookmarkEnd w:id="23"/>
    <w:bookmarkEnd w:id="24"/>
    <w:bookmarkStart w:id="30" w:name="Xb63857445bac22cc45fa6148f14a6cd8f24b93c"/>
    <w:p>
      <w:pPr>
        <w:pStyle w:val="Heading2"/>
        <w:pageBreakBefore/>
      </w:pPr>
      <w:r>
        <w:t xml:space="preserve">Session 5 Resource. Causal-Routing Laboratory</w:t>
      </w:r>
    </w:p>
    <w:bookmarkStart w:id="25" w:name="frozen-n_2-rules"/>
    <w:p>
      <w:pPr>
        <w:pStyle w:val="Heading3"/>
      </w:pPr>
      <w:r>
        <w:t xml:space="preserve">Frozen</w:t>
      </w:r>
      <w:r>
        <w:t xml:space="preserve"> </w:t>
      </w:r>
      <m:oMath>
        <m:sSub>
          <m:e>
            <m:r>
              <m:t>N</m:t>
            </m:r>
          </m:e>
          <m:sub>
            <m:r>
              <m:t>2</m:t>
            </m:r>
          </m:sub>
        </m:sSub>
      </m:oMath>
      <w:r>
        <w:t xml:space="preserve"> </w:t>
      </w:r>
      <w:r>
        <w:t xml:space="preserve">Rules</w:t>
      </w:r>
    </w:p>
    <w:p>
      <w:pPr>
        <w:pStyle w:val="FirstParagraph"/>
      </w:pPr>
      <w:r>
        <w:t xml:space="preserve">All architectures are synthetic.</w:t>
      </w:r>
    </w:p>
    <w:p>
      <w:pPr>
        <w:pStyle w:val="Compact"/>
        <w:numPr>
          <w:ilvl w:val="0"/>
          <w:numId w:val="1006"/>
        </w:numPr>
      </w:pPr>
      <w:r>
        <w:t xml:space="preserve">A recipient qualifies only if its effect lower bound is at least</w:t>
      </w:r>
      <w:r>
        <w:t xml:space="preserve"> </w:t>
      </w:r>
      <m:oMath>
        <m:r>
          <m:t>.08</m:t>
        </m:r>
      </m:oMath>
      <w:r>
        <w:t xml:space="preserve">, latency is no more than 180 ms, and content selectivity, route dependence, and context robustness all pass.</w:t>
      </w:r>
    </w:p>
    <w:p>
      <w:pPr>
        <w:pStyle w:val="Compact"/>
        <w:numPr>
          <w:ilvl w:val="0"/>
          <w:numId w:val="1006"/>
        </w:numPr>
      </w:pPr>
      <w:r>
        <w:t xml:space="preserve">Aggregate requirements: weighted coverage</w:t>
      </w:r>
      <w:r>
        <w:t xml:space="preserve"> </w:t>
      </w:r>
      <m:oMath>
        <m:sSub>
          <m:e>
            <m:r>
              <m:t>C</m:t>
            </m:r>
          </m:e>
          <m:sub>
            <m:r>
              <m:t>A</m:t>
            </m:r>
          </m:sub>
        </m:sSub>
        <m:r>
          <m:rPr>
            <m:sty m:val="p"/>
          </m:rPr>
          <m:t>≥</m:t>
        </m:r>
        <m:r>
          <m:t>.60</m:t>
        </m:r>
      </m:oMath>
      <w:r>
        <w:t xml:space="preserve">, at least three independently calibrated recipient classes, and normalized evenness</w:t>
      </w:r>
      <w:r>
        <w:t xml:space="preserve"> </w:t>
      </w:r>
      <m:oMath>
        <m:sSub>
          <m:e>
            <m:r>
              <m:t>H</m:t>
            </m:r>
          </m:e>
          <m:sub>
            <m:r>
              <m:t>A</m:t>
            </m:r>
          </m:sub>
        </m:sSub>
        <m:r>
          <m:rPr>
            <m:sty m:val="p"/>
          </m:rPr>
          <m:t>≥</m:t>
        </m:r>
        <m:r>
          <m:t>.80</m:t>
        </m:r>
      </m:oMath>
      <w:r>
        <w:t xml:space="preserve">.</w:t>
      </w:r>
    </w:p>
    <w:p>
      <w:pPr>
        <w:pStyle w:val="Compact"/>
        <w:numPr>
          <w:ilvl w:val="0"/>
          <w:numId w:val="1006"/>
        </w:numPr>
      </w:pPr>
      <w:r>
        <w:t xml:space="preserve">The result must remain positive after separately removing report classes and executive classes. Weights are renormalized within each reduced family.</w:t>
      </w:r>
    </w:p>
    <w:p>
      <w:pPr>
        <w:pStyle w:val="Compact"/>
        <w:numPr>
          <w:ilvl w:val="0"/>
          <w:numId w:val="1006"/>
        </w:numPr>
      </w:pPr>
      <w:r>
        <w:t xml:space="preserve">The class taxonomy is frozen before target-content testing.</w:t>
      </w:r>
    </w:p>
    <w:p>
      <w:pPr>
        <w:pStyle w:val="Compact"/>
        <w:numPr>
          <w:ilvl w:val="0"/>
          <w:numId w:val="1006"/>
        </w:numPr>
      </w:pPr>
      <w:r>
        <w:t xml:space="preserve">Availability stability must satisfy</w:t>
      </w:r>
      <w:r>
        <w:t xml:space="preserve"> </w:t>
      </w:r>
      <m:oMath>
        <m:sSub>
          <m:e>
            <m:r>
              <m:t>R</m:t>
            </m:r>
          </m:e>
          <m:sub>
            <m:r>
              <m:t>A</m:t>
            </m:r>
          </m:sub>
        </m:sSub>
        <m:r>
          <m:rPr>
            <m:sty m:val="p"/>
          </m:rPr>
          <m:t>≥</m:t>
        </m:r>
        <m:sSub>
          <m:e>
            <m:r>
              <m:t>ρ</m:t>
            </m:r>
          </m:e>
          <m:sub>
            <m:r>
              <m:t>A</m:t>
            </m:r>
          </m:sub>
        </m:sSub>
        <m:r>
          <m:rPr>
            <m:sty m:val="p"/>
          </m:rPr>
          <m:t>=</m:t>
        </m:r>
        <m:r>
          <m:t>.80</m:t>
        </m:r>
      </m:oMath>
      <w:r>
        <w:t xml:space="preserve"> </w:t>
      </w:r>
      <w:r>
        <w:t xml:space="preserve">across the frozen reasonable-specification neighborhood.</w:t>
      </w:r>
    </w:p>
    <w:p>
      <w:pPr>
        <w:pStyle w:val="Compact"/>
        <w:numPr>
          <w:ilvl w:val="0"/>
          <w:numId w:val="1006"/>
        </w:numPr>
      </w:pPr>
      <w:r>
        <w:t xml:space="preserve">A route-negative result requires adequate coverage of nominated redundant route families. Class count is negative only when fewer than three classes could pass even at their upper bounds; otherwise it is indeterminate.</w:t>
      </w:r>
    </w:p>
    <w:p>
      <w:pPr>
        <w:pStyle w:val="FirstParagraph"/>
      </w:pPr>
      <w:r>
        <w:t xml:space="preserve">For qualifying-class indicator</w:t>
      </w:r>
      <w:r>
        <w:t xml:space="preserve"> </w:t>
      </w:r>
      <m:oMath>
        <m:sSub>
          <m:e>
            <m:r>
              <m:t>a</m:t>
            </m:r>
          </m:e>
          <m:sub>
            <m:r>
              <m:t>k</m:t>
            </m:r>
          </m:sub>
        </m:sSub>
      </m:oMath>
      <w:r>
        <w:t xml:space="preserve">, point effect</w:t>
      </w:r>
      <w:r>
        <w:t xml:space="preserve"> </w:t>
      </w:r>
      <m:oMath>
        <m:sSubSup>
          <m:e>
            <m:r>
              <m:t>E</m:t>
            </m:r>
          </m:e>
          <m:sub>
            <m:r>
              <m:t>k</m:t>
            </m:r>
          </m:sub>
          <m:sup>
            <m:r>
              <m:rPr>
                <m:sty m:val="p"/>
              </m:rPr>
              <m:t>*</m:t>
            </m:r>
          </m:sup>
        </m:sSubSup>
      </m:oMath>
      <w:r>
        <w:t xml:space="preserve">, and frozen class weight</w:t>
      </w:r>
      <w:r>
        <w:t xml:space="preserve"> </w:t>
      </w:r>
      <m:oMath>
        <m:sSub>
          <m:e>
            <m:r>
              <m:t>w</m:t>
            </m:r>
          </m:e>
          <m:sub>
            <m:r>
              <m:t>k</m:t>
            </m:r>
          </m:sub>
        </m:sSub>
      </m:oMath>
      <w:r>
        <w:t xml:space="preserve">, calculate</w:t>
      </w:r>
    </w:p>
    <w:p>
      <w:pPr>
        <w:pStyle w:val="BodyText"/>
      </w:pPr>
      <m:oMathPara>
        <m:oMathParaPr>
          <m:jc m:val="center"/>
        </m:oMathParaPr>
        <m:oMath>
          <m:sSub>
            <m:e>
              <m:r>
                <m:t>p</m:t>
              </m:r>
            </m:e>
            <m:sub>
              <m:r>
                <m:t>k</m:t>
              </m:r>
            </m:sub>
          </m:sSub>
          <m:r>
            <m:rPr>
              <m:sty m:val="p"/>
            </m:rPr>
            <m:t>=</m:t>
          </m:r>
          <m:f>
            <m:fPr>
              <m:type m:val="bar"/>
            </m:fPr>
            <m:num>
              <m:sSub>
                <m:e>
                  <m:r>
                    <m:t>w</m:t>
                  </m:r>
                </m:e>
                <m:sub>
                  <m:r>
                    <m:t>k</m:t>
                  </m:r>
                </m:sub>
              </m:sSub>
              <m:sSubSup>
                <m:e>
                  <m:r>
                    <m:t>E</m:t>
                  </m:r>
                </m:e>
                <m:sub>
                  <m:r>
                    <m:t>k</m:t>
                  </m:r>
                </m:sub>
                <m:sup>
                  <m:r>
                    <m:rPr>
                      <m:sty m:val="p"/>
                    </m:rPr>
                    <m:t>*</m:t>
                  </m:r>
                </m:sup>
              </m:sSubSup>
              <m:sSub>
                <m:e>
                  <m:r>
                    <m:t>a</m:t>
                  </m:r>
                </m:e>
                <m:sub>
                  <m:r>
                    <m:t>k</m:t>
                  </m:r>
                </m:sub>
              </m:sSub>
            </m:num>
            <m:den>
              <m:nary>
                <m:naryPr>
                  <m:chr m:val="∑"/>
                  <m:limLoc m:val="undOvr"/>
                  <m:subHide m:val="off"/>
                  <m:supHide m:val="on"/>
                </m:naryPr>
                <m:sub>
                  <m:r>
                    <m:t>j</m:t>
                  </m:r>
                </m:sub>
                <m:sup>
                  <m:r>
                    <m:t>​</m:t>
                  </m:r>
                </m:sup>
                <m:e>
                  <m:sSub>
                    <m:e>
                      <m:r>
                        <m:t>w</m:t>
                      </m:r>
                    </m:e>
                    <m:sub>
                      <m:r>
                        <m:t>j</m:t>
                      </m:r>
                    </m:sub>
                  </m:sSub>
                </m:e>
              </m:nary>
              <m:sSubSup>
                <m:e>
                  <m:r>
                    <m:t>E</m:t>
                  </m:r>
                </m:e>
                <m:sub>
                  <m:r>
                    <m:t>j</m:t>
                  </m:r>
                </m:sub>
                <m:sup>
                  <m:r>
                    <m:rPr>
                      <m:sty m:val="p"/>
                    </m:rPr>
                    <m:t>*</m:t>
                  </m:r>
                </m:sup>
              </m:sSubSup>
              <m:sSub>
                <m:e>
                  <m:r>
                    <m:t>a</m:t>
                  </m:r>
                </m:e>
                <m:sub>
                  <m:r>
                    <m:t>j</m:t>
                  </m:r>
                </m:sub>
              </m:sSub>
            </m:den>
          </m:f>
          <m:r>
            <m:rPr>
              <m:sty m:val="p"/>
            </m:rPr>
            <m:t>,</m:t>
          </m:r>
          <m:r>
            <m:t>  </m:t>
          </m:r>
          <m:sSub>
            <m:e>
              <m:r>
                <m:t>H</m:t>
              </m:r>
            </m:e>
            <m:sub>
              <m:r>
                <m:t>A</m:t>
              </m:r>
            </m:sub>
          </m:sSub>
          <m:r>
            <m:rPr>
              <m:sty m:val="p"/>
            </m:rPr>
            <m:t>=</m:t>
          </m:r>
          <m:r>
            <m:rPr>
              <m:sty m:val="p"/>
            </m:rPr>
            <m:t>−</m:t>
          </m:r>
          <m:f>
            <m:fPr>
              <m:type m:val="bar"/>
            </m:fPr>
            <m:num>
              <m:nary>
                <m:naryPr>
                  <m:chr m:val="∑"/>
                  <m:limLoc m:val="undOvr"/>
                  <m:subHide m:val="off"/>
                  <m:supHide m:val="on"/>
                </m:naryPr>
                <m:sub>
                  <m:r>
                    <m:t>k</m:t>
                  </m:r>
                </m:sub>
                <m:sup>
                  <m:r>
                    <m:t>​</m:t>
                  </m:r>
                </m:sup>
                <m:e>
                  <m:sSub>
                    <m:e>
                      <m:r>
                        <m:t>p</m:t>
                      </m:r>
                    </m:e>
                    <m:sub>
                      <m:r>
                        <m:t>k</m:t>
                      </m:r>
                    </m:sub>
                  </m:sSub>
                </m:e>
              </m:nary>
              <m:r>
                <m:rPr>
                  <m:sty m:val="p"/>
                </m:rPr>
                <m:t>log</m:t>
              </m:r>
              <m:sSub>
                <m:e>
                  <m:r>
                    <m:t>p</m:t>
                  </m:r>
                </m:e>
                <m:sub>
                  <m:r>
                    <m:t>k</m:t>
                  </m:r>
                </m:sub>
              </m:sSub>
            </m:num>
            <m:den>
              <m:r>
                <m:rPr>
                  <m:sty m:val="p"/>
                </m:rPr>
                <m:t>log</m:t>
              </m:r>
              <m:sSub>
                <m:e>
                  <m:r>
                    <m:t>K</m:t>
                  </m:r>
                </m:e>
                <m:sub>
                  <m:r>
                    <m:t>A</m:t>
                  </m:r>
                </m:sub>
              </m:sSub>
            </m:den>
          </m:f>
          <m:r>
            <m:rPr>
              <m:sty m:val="p"/>
            </m:rPr>
            <m:t>.</m:t>
          </m:r>
        </m:oMath>
      </m:oMathPara>
    </w:p>
    <w:p>
      <w:pPr>
        <w:pStyle w:val="FirstParagraph"/>
      </w:pPr>
      <w:r>
        <w:t xml:space="preserve">For</w:t>
      </w:r>
      <w:r>
        <w:t xml:space="preserve"> </w:t>
      </w:r>
      <m:oMath>
        <m:sSub>
          <m:e>
            <m:r>
              <m:t>K</m:t>
            </m:r>
          </m:e>
          <m:sub>
            <m:r>
              <m:t>A</m:t>
            </m:r>
          </m:sub>
        </m:sSub>
        <m:r>
          <m:rPr>
            <m:sty m:val="p"/>
          </m:rPr>
          <m:t>&lt;</m:t>
        </m:r>
        <m:r>
          <m:t>2</m:t>
        </m:r>
      </m:oMath>
      <w:r>
        <w:t xml:space="preserve">, define</w:t>
      </w:r>
      <w:r>
        <w:t xml:space="preserve"> </w:t>
      </w:r>
      <m:oMath>
        <m:sSub>
          <m:e>
            <m:r>
              <m:t>H</m:t>
            </m:r>
          </m:e>
          <m:sub>
            <m:r>
              <m:t>A</m:t>
            </m:r>
          </m:sub>
        </m:sSub>
        <m:r>
          <m:rPr>
            <m:sty m:val="p"/>
          </m:rPr>
          <m:t>=</m:t>
        </m:r>
        <m:r>
          <m:t>0</m:t>
        </m:r>
      </m:oMath>
      <w:r>
        <w:t xml:space="preserve">; this prevents the entropy normalization from being undefined when no class or only one class qualifies. The supplied evenness values treat point effects as exact teaching values. A real analysis requires uncertainty for</w:t>
      </w:r>
      <w:r>
        <w:t xml:space="preserve"> </w:t>
      </w:r>
      <m:oMath>
        <m:sSub>
          <m:e>
            <m:r>
              <m:t>H</m:t>
            </m:r>
          </m:e>
          <m:sub>
            <m:r>
              <m:t>A</m:t>
            </m:r>
          </m:sub>
        </m:sSub>
      </m:oMath>
      <w:r>
        <w:t xml:space="preserve"> </w:t>
      </w:r>
      <w:r>
        <w:t xml:space="preserve">as well as for each class gate.</w:t>
      </w:r>
    </w:p>
    <w:bookmarkEnd w:id="25"/>
    <w:bookmarkStart w:id="29" w:name="student-materials-4"/>
    <w:p>
      <w:pPr>
        <w:pStyle w:val="Heading3"/>
      </w:pPr>
      <w:r>
        <w:t xml:space="preserve">Student Materials</w:t>
      </w:r>
    </w:p>
    <w:p>
      <w:pPr>
        <w:pStyle w:val="FirstParagraph"/>
      </w:pPr>
      <w:r>
        <w:rPr>
          <w:b/>
          <w:bCs/>
        </w:rPr>
        <w:t xml:space="preserve">Core.</w:t>
      </w:r>
      <w:r>
        <w:t xml:space="preserve"> </w:t>
      </w:r>
      <w:r>
        <w:t xml:space="preserve">Assign one architecture per team. Values in brackets are 95 percent intervals.</w:t>
      </w:r>
      <w:r>
        <w:t xml:space="preserve"> </w:t>
      </w:r>
      <w:r>
        <w:rPr>
          <w:b/>
          <w:bCs/>
        </w:rPr>
        <w:t xml:space="preserve">Extension.</w:t>
      </w:r>
      <w:r>
        <w:t xml:space="preserve"> </w:t>
      </w:r>
      <w:r>
        <w:t xml:space="preserve">Compare all three and identify the smallest change that reverses each result.</w:t>
      </w:r>
    </w:p>
    <w:bookmarkStart w:id="26" w:name="X6971cacee780d4c3702179ba1d5484e232f1dc1"/>
    <w:p>
      <w:pPr>
        <w:pStyle w:val="Heading4"/>
      </w:pPr>
      <w:r>
        <w:t xml:space="preserve">Synthetic Architecture A - duplicated log bus</w:t>
      </w:r>
    </w:p>
    <w:p>
      <w:pPr>
        <w:pStyle w:val="FirstParagraph"/>
      </w:pPr>
      <w:r>
        <w:t xml:space="preserve">One hundred loggers have identical calibration repertoires and therefore count as one class.</w:t>
      </w:r>
    </w:p>
    <w:p>
      <w:pPr>
        <w:pStyle w:val="BodyText"/>
      </w:pPr>
      <w:r>
        <w:t xml:space="preserve">All nominated shared-bus and redundant route families were tested with adequate coverage.</w:t>
      </w:r>
      <w:r>
        <w:t xml:space="preserve"> </w:t>
      </w:r>
      <m:oMath>
        <m:sSub>
          <m:e>
            <m:r>
              <m:t>R</m:t>
            </m:r>
          </m:e>
          <m:sub>
            <m:r>
              <m:t>A</m:t>
            </m:r>
          </m:sub>
        </m:sSub>
        <m:r>
          <m:rPr>
            <m:sty m:val="p"/>
          </m:rPr>
          <m:t>=</m:t>
        </m:r>
        <m:r>
          <m:t>.93</m:t>
        </m:r>
      </m:oMath>
      <w:r>
        <w:t xml:space="preserve">.</w:t>
      </w:r>
    </w:p>
    <w:tbl>
      <w:tblPr>
        <w:tblStyle w:val="Table"/>
        <w:tblW w:type="dxa" w:w="9994"/>
        <w:jc w:val="center"/>
        <w:tblLayout w:type="fixed"/>
        <w:tblLook w:firstRow="1" w:lastRow="0" w:firstColumn="0" w:lastColumn="0" w:noHBand="0" w:noVBand="0" w:val="0020"/>
      </w:tblPr>
      <w:tblGrid>
        <w:gridCol w:w="1499"/>
        <w:gridCol w:w="999"/>
        <w:gridCol w:w="1699"/>
        <w:gridCol w:w="999"/>
        <w:gridCol w:w="1199"/>
        <w:gridCol w:w="2598"/>
        <w:gridCol w:w="1001"/>
      </w:tblGrid>
      <w:tr>
        <w:trPr>
          <w:tblHeader w:val="on"/>
          <w:cantSplit/>
        </w:trPr>
        <w:tc>
          <w:tcPr>
            <w:tcW w:w="14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Class</w:t>
            </w:r>
          </w:p>
        </w:tc>
        <w:tc>
          <w:tcPr>
            <w:tcW w:w="9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Weight</w:t>
            </w:r>
          </w:p>
        </w:tc>
        <w:tc>
          <w:tcPr>
            <w:tcW w:w="16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Effect</w:t>
            </w:r>
          </w:p>
        </w:tc>
        <w:tc>
          <w:tcPr>
            <w:tcW w:w="9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Latency</w:t>
            </w:r>
          </w:p>
        </w:tc>
        <w:tc>
          <w:tcPr>
            <w:tcW w:w="11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Selective</w:t>
            </w:r>
          </w:p>
        </w:tc>
        <w:tc>
          <w:tcPr>
            <w:tcW w:w="2598"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Route</w:t>
            </w:r>
          </w:p>
        </w:tc>
        <w:tc>
          <w:tcPr>
            <w:tcW w:w="1001"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Context</w:t>
            </w:r>
          </w:p>
        </w:tc>
      </w:tr>
      <w:tr>
        <w:trPr>
          <w:cantSplit/>
        </w:trPr>
        <w:tc>
          <w:tcPr>
            <w:tcW w:w="14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Logging copies</w:t>
            </w:r>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1.00</w:t>
            </w:r>
          </w:p>
        </w:tc>
        <w:tc>
          <w:tcPr>
            <w:tcW w:w="16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.22</m:t>
              </m:r>
              <m:r>
                <m:rPr>
                  <m:sty m:val="p"/>
                </m:rPr>
                <w:rPr>
                  <w:sz w:val="18"/>
                  <w:szCs w:val="18"/>
                  <w:color w:val="232A30"/>
                </w:rPr>
                <m:t>[</m:t>
              </m:r>
              <m:r>
                <w:rPr>
                  <w:sz w:val="18"/>
                  <w:szCs w:val="18"/>
                  <w:color w:val="232A30"/>
                </w:rPr>
                <m:t>.18</m:t>
              </m:r>
              <m:r>
                <m:rPr>
                  <m:sty m:val="p"/>
                </m:rPr>
                <w:rPr>
                  <w:sz w:val="18"/>
                  <w:szCs w:val="18"/>
                  <w:color w:val="232A30"/>
                </w:rPr>
                <m:t>,</m:t>
              </m:r>
              <m:r>
                <w:rPr>
                  <w:sz w:val="18"/>
                  <w:szCs w:val="18"/>
                  <w:color w:val="232A30"/>
                </w:rPr>
                <m:t>.26</m:t>
              </m:r>
              <m:r>
                <m:rPr>
                  <m:sty m:val="p"/>
                </m:rPr>
                <w:rPr>
                  <w:sz w:val="18"/>
                  <w:szCs w:val="18"/>
                  <w:color w:val="232A30"/>
                </w:rPr>
                <m:t>]</m:t>
              </m:r>
            </m:oMath>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40</w:t>
            </w:r>
          </w:p>
        </w:tc>
        <w:tc>
          <w:tcPr>
            <w:tcW w:w="11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25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no: shared bus common drive</w:t>
            </w:r>
          </w:p>
        </w:tc>
        <w:tc>
          <w:tcPr>
            <w:tcW w:w="1001"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r>
    </w:tbl>
    <w:bookmarkEnd w:id="26"/>
    <w:bookmarkStart w:id="27" w:name="X14faf4df422e88d38500a4fa2421df13c58cf1e"/>
    <w:p>
      <w:pPr>
        <w:pStyle w:val="Heading4"/>
      </w:pPr>
      <w:r>
        <w:t xml:space="preserve">Synthetic Architecture B - executive-heavy router</w:t>
      </w:r>
    </w:p>
    <w:tbl>
      <w:tblPr>
        <w:tblStyle w:val="Table"/>
        <w:tblW w:type="dxa" w:w="9994"/>
        <w:jc w:val="center"/>
        <w:tblLayout w:type="fixed"/>
        <w:tblLook w:firstRow="1" w:lastRow="0" w:firstColumn="0" w:lastColumn="0" w:noHBand="0" w:noVBand="0" w:val="0020"/>
      </w:tblPr>
      <w:tblGrid>
        <w:gridCol w:w="1599"/>
        <w:gridCol w:w="1399"/>
        <w:gridCol w:w="800"/>
        <w:gridCol w:w="1999"/>
        <w:gridCol w:w="999"/>
        <w:gridCol w:w="1199"/>
        <w:gridCol w:w="999"/>
        <w:gridCol w:w="1000"/>
      </w:tblGrid>
      <w:tr>
        <w:trPr>
          <w:tblHeader w:val="on"/>
          <w:cantSplit/>
        </w:trPr>
        <w:tc>
          <w:tcPr>
            <w:tcW w:w="15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Class</w:t>
            </w:r>
          </w:p>
        </w:tc>
        <w:tc>
          <w:tcPr>
            <w:tcW w:w="13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Type</w:t>
            </w:r>
          </w:p>
        </w:tc>
        <w:tc>
          <w:tcPr>
            <w:tcW w:w="800"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Weight</w:t>
            </w:r>
          </w:p>
        </w:tc>
        <w:tc>
          <w:tcPr>
            <w:tcW w:w="19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Effect</w:t>
            </w:r>
          </w:p>
        </w:tc>
        <w:tc>
          <w:tcPr>
            <w:tcW w:w="9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Latency</w:t>
            </w:r>
          </w:p>
        </w:tc>
        <w:tc>
          <w:tcPr>
            <w:tcW w:w="11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Selective</w:t>
            </w:r>
          </w:p>
        </w:tc>
        <w:tc>
          <w:tcPr>
            <w:tcW w:w="9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Route</w:t>
            </w:r>
          </w:p>
        </w:tc>
        <w:tc>
          <w:tcPr>
            <w:tcW w:w="1000"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Context</w:t>
            </w:r>
          </w:p>
        </w:tc>
      </w:tr>
      <w:tr>
        <w:trPr>
          <w:cantSplit/>
        </w:trPr>
        <w:tc>
          <w:tcPr>
            <w:tcW w:w="15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Sensory comparison</w:t>
            </w:r>
          </w:p>
        </w:tc>
        <w:tc>
          <w:tcPr>
            <w:tcW w:w="13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nonexecutive</w:t>
            </w:r>
          </w:p>
        </w:tc>
        <w:tc>
          <w:tcPr>
            <w:tcW w:w="8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.25</w:t>
            </w:r>
          </w:p>
        </w:tc>
        <w:tc>
          <w:tcPr>
            <w:tcW w:w="19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.15</m:t>
              </m:r>
              <m:r>
                <m:rPr>
                  <m:sty m:val="p"/>
                </m:rPr>
                <w:rPr>
                  <w:sz w:val="18"/>
                  <w:szCs w:val="18"/>
                  <w:color w:val="232A30"/>
                </w:rPr>
                <m:t>[</m:t>
              </m:r>
              <m:r>
                <w:rPr>
                  <w:sz w:val="18"/>
                  <w:szCs w:val="18"/>
                  <w:color w:val="232A30"/>
                </w:rPr>
                <m:t>.11</m:t>
              </m:r>
              <m:r>
                <m:rPr>
                  <m:sty m:val="p"/>
                </m:rPr>
                <w:rPr>
                  <w:sz w:val="18"/>
                  <w:szCs w:val="18"/>
                  <w:color w:val="232A30"/>
                </w:rPr>
                <m:t>,</m:t>
              </m:r>
              <m:r>
                <w:rPr>
                  <w:sz w:val="18"/>
                  <w:szCs w:val="18"/>
                  <w:color w:val="232A30"/>
                </w:rPr>
                <m:t>.19</m:t>
              </m:r>
              <m:r>
                <m:rPr>
                  <m:sty m:val="p"/>
                </m:rPr>
                <w:rPr>
                  <w:sz w:val="18"/>
                  <w:szCs w:val="18"/>
                  <w:color w:val="232A30"/>
                </w:rPr>
                <m:t>]</m:t>
              </m:r>
            </m:oMath>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90</w:t>
            </w:r>
          </w:p>
        </w:tc>
        <w:tc>
          <w:tcPr>
            <w:tcW w:w="11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10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r>
      <w:tr>
        <w:trPr>
          <w:cantSplit/>
        </w:trPr>
        <w:tc>
          <w:tcPr>
            <w:tcW w:w="15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Value updating</w:t>
            </w:r>
          </w:p>
        </w:tc>
        <w:tc>
          <w:tcPr>
            <w:tcW w:w="13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nonexecutive</w:t>
            </w:r>
          </w:p>
        </w:tc>
        <w:tc>
          <w:tcPr>
            <w:tcW w:w="8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.20</w:t>
            </w:r>
          </w:p>
        </w:tc>
        <w:tc>
          <w:tcPr>
            <w:tcW w:w="19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.12</m:t>
              </m:r>
              <m:r>
                <m:rPr>
                  <m:sty m:val="p"/>
                </m:rPr>
                <w:rPr>
                  <w:sz w:val="18"/>
                  <w:szCs w:val="18"/>
                  <w:color w:val="232A30"/>
                </w:rPr>
                <m:t>[</m:t>
              </m:r>
              <m:r>
                <w:rPr>
                  <w:sz w:val="18"/>
                  <w:szCs w:val="18"/>
                  <w:color w:val="232A30"/>
                </w:rPr>
                <m:t>.08</m:t>
              </m:r>
              <m:r>
                <m:rPr>
                  <m:sty m:val="p"/>
                </m:rPr>
                <w:rPr>
                  <w:sz w:val="18"/>
                  <w:szCs w:val="18"/>
                  <w:color w:val="232A30"/>
                </w:rPr>
                <m:t>,</m:t>
              </m:r>
              <m:r>
                <w:rPr>
                  <w:sz w:val="18"/>
                  <w:szCs w:val="18"/>
                  <w:color w:val="232A30"/>
                </w:rPr>
                <m:t>.16</m:t>
              </m:r>
              <m:r>
                <m:rPr>
                  <m:sty m:val="p"/>
                </m:rPr>
                <w:rPr>
                  <w:sz w:val="18"/>
                  <w:szCs w:val="18"/>
                  <w:color w:val="232A30"/>
                </w:rPr>
                <m:t>]</m:t>
              </m:r>
            </m:oMath>
          </w:p>
        </w:tc>
        <w:tc>
          <w:tcPr>
            <w:tcW w:w="9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115</w:t>
            </w:r>
          </w:p>
        </w:tc>
        <w:tc>
          <w:tcPr>
            <w:tcW w:w="11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9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10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r>
      <w:tr>
        <w:trPr>
          <w:cantSplit/>
        </w:trPr>
        <w:tc>
          <w:tcPr>
            <w:tcW w:w="15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Memory indexing</w:t>
            </w:r>
          </w:p>
        </w:tc>
        <w:tc>
          <w:tcPr>
            <w:tcW w:w="13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executive</w:t>
            </w:r>
          </w:p>
        </w:tc>
        <w:tc>
          <w:tcPr>
            <w:tcW w:w="8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.20</w:t>
            </w:r>
          </w:p>
        </w:tc>
        <w:tc>
          <w:tcPr>
            <w:tcW w:w="19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.16</m:t>
              </m:r>
              <m:r>
                <m:rPr>
                  <m:sty m:val="p"/>
                </m:rPr>
                <w:rPr>
                  <w:sz w:val="18"/>
                  <w:szCs w:val="18"/>
                  <w:color w:val="232A30"/>
                </w:rPr>
                <m:t>[</m:t>
              </m:r>
              <m:r>
                <w:rPr>
                  <w:sz w:val="18"/>
                  <w:szCs w:val="18"/>
                  <w:color w:val="232A30"/>
                </w:rPr>
                <m:t>.12</m:t>
              </m:r>
              <m:r>
                <m:rPr>
                  <m:sty m:val="p"/>
                </m:rPr>
                <w:rPr>
                  <w:sz w:val="18"/>
                  <w:szCs w:val="18"/>
                  <w:color w:val="232A30"/>
                </w:rPr>
                <m:t>,</m:t>
              </m:r>
              <m:r>
                <w:rPr>
                  <w:sz w:val="18"/>
                  <w:szCs w:val="18"/>
                  <w:color w:val="232A30"/>
                </w:rPr>
                <m:t>.20</m:t>
              </m:r>
              <m:r>
                <m:rPr>
                  <m:sty m:val="p"/>
                </m:rPr>
                <w:rPr>
                  <w:sz w:val="18"/>
                  <w:szCs w:val="18"/>
                  <w:color w:val="232A30"/>
                </w:rPr>
                <m:t>]</m:t>
              </m:r>
            </m:oMath>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130</w:t>
            </w:r>
          </w:p>
        </w:tc>
        <w:tc>
          <w:tcPr>
            <w:tcW w:w="11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10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r>
      <w:tr>
        <w:trPr>
          <w:cantSplit/>
        </w:trPr>
        <w:tc>
          <w:tcPr>
            <w:tcW w:w="15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Conflict monitoring</w:t>
            </w:r>
          </w:p>
        </w:tc>
        <w:tc>
          <w:tcPr>
            <w:tcW w:w="13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executive</w:t>
            </w:r>
          </w:p>
        </w:tc>
        <w:tc>
          <w:tcPr>
            <w:tcW w:w="8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.20</w:t>
            </w:r>
          </w:p>
        </w:tc>
        <w:tc>
          <w:tcPr>
            <w:tcW w:w="19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.14</m:t>
              </m:r>
              <m:r>
                <m:rPr>
                  <m:sty m:val="p"/>
                </m:rPr>
                <w:rPr>
                  <w:sz w:val="18"/>
                  <w:szCs w:val="18"/>
                  <w:color w:val="232A30"/>
                </w:rPr>
                <m:t>[</m:t>
              </m:r>
              <m:r>
                <w:rPr>
                  <w:sz w:val="18"/>
                  <w:szCs w:val="18"/>
                  <w:color w:val="232A30"/>
                </w:rPr>
                <m:t>.10</m:t>
              </m:r>
              <m:r>
                <m:rPr>
                  <m:sty m:val="p"/>
                </m:rPr>
                <w:rPr>
                  <w:sz w:val="18"/>
                  <w:szCs w:val="18"/>
                  <w:color w:val="232A30"/>
                </w:rPr>
                <m:t>,</m:t>
              </m:r>
              <m:r>
                <w:rPr>
                  <w:sz w:val="18"/>
                  <w:szCs w:val="18"/>
                  <w:color w:val="232A30"/>
                </w:rPr>
                <m:t>.18</m:t>
              </m:r>
              <m:r>
                <m:rPr>
                  <m:sty m:val="p"/>
                </m:rPr>
                <w:rPr>
                  <w:sz w:val="18"/>
                  <w:szCs w:val="18"/>
                  <w:color w:val="232A30"/>
                </w:rPr>
                <m:t>]</m:t>
              </m:r>
            </m:oMath>
          </w:p>
        </w:tc>
        <w:tc>
          <w:tcPr>
            <w:tcW w:w="9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145</w:t>
            </w:r>
          </w:p>
        </w:tc>
        <w:tc>
          <w:tcPr>
            <w:tcW w:w="11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9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10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r>
      <w:tr>
        <w:trPr>
          <w:cantSplit/>
        </w:trPr>
        <w:tc>
          <w:tcPr>
            <w:tcW w:w="15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Report preparation</w:t>
            </w:r>
          </w:p>
        </w:tc>
        <w:tc>
          <w:tcPr>
            <w:tcW w:w="13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report and executive</w:t>
            </w:r>
          </w:p>
        </w:tc>
        <w:tc>
          <w:tcPr>
            <w:tcW w:w="8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.15</w:t>
            </w:r>
          </w:p>
        </w:tc>
        <w:tc>
          <w:tcPr>
            <w:tcW w:w="19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.19</m:t>
              </m:r>
              <m:r>
                <m:rPr>
                  <m:sty m:val="p"/>
                </m:rPr>
                <w:rPr>
                  <w:sz w:val="18"/>
                  <w:szCs w:val="18"/>
                  <w:color w:val="232A30"/>
                </w:rPr>
                <m:t>[</m:t>
              </m:r>
              <m:r>
                <w:rPr>
                  <w:sz w:val="18"/>
                  <w:szCs w:val="18"/>
                  <w:color w:val="232A30"/>
                </w:rPr>
                <m:t>.15</m:t>
              </m:r>
              <m:r>
                <m:rPr>
                  <m:sty m:val="p"/>
                </m:rPr>
                <w:rPr>
                  <w:sz w:val="18"/>
                  <w:szCs w:val="18"/>
                  <w:color w:val="232A30"/>
                </w:rPr>
                <m:t>,</m:t>
              </m:r>
              <m:r>
                <w:rPr>
                  <w:sz w:val="18"/>
                  <w:szCs w:val="18"/>
                  <w:color w:val="232A30"/>
                </w:rPr>
                <m:t>.23</m:t>
              </m:r>
              <m:r>
                <m:rPr>
                  <m:sty m:val="p"/>
                </m:rPr>
                <w:rPr>
                  <w:sz w:val="18"/>
                  <w:szCs w:val="18"/>
                  <w:color w:val="232A30"/>
                </w:rPr>
                <m:t>]</m:t>
              </m:r>
            </m:oMath>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160</w:t>
            </w:r>
          </w:p>
        </w:tc>
        <w:tc>
          <w:tcPr>
            <w:tcW w:w="11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10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r>
    </w:tbl>
    <w:p>
      <w:pPr>
        <w:pStyle w:val="BodyText"/>
      </w:pPr>
      <w:r>
        <w:t xml:space="preserve">For the full family,</w:t>
      </w:r>
      <w:r>
        <w:t xml:space="preserve"> </w:t>
      </w:r>
      <m:oMath>
        <m:sSub>
          <m:e>
            <m:r>
              <m:t>H</m:t>
            </m:r>
          </m:e>
          <m:sub>
            <m:r>
              <m:t>A</m:t>
            </m:r>
          </m:sub>
        </m:sSub>
        <m:r>
          <m:rPr>
            <m:sty m:val="p"/>
          </m:rPr>
          <m:t>≈</m:t>
        </m:r>
        <m:r>
          <m:t>.993</m:t>
        </m:r>
      </m:oMath>
      <w:r>
        <w:t xml:space="preserve">. After executive removal, only two nonexecutive classes remain.</w:t>
      </w:r>
    </w:p>
    <w:p>
      <w:pPr>
        <w:pStyle w:val="BodyText"/>
      </w:pPr>
      <m:oMath>
        <m:sSub>
          <m:e>
            <m:r>
              <m:t>R</m:t>
            </m:r>
          </m:e>
          <m:sub>
            <m:r>
              <m:t>A</m:t>
            </m:r>
          </m:sub>
        </m:sSub>
        <m:r>
          <m:rPr>
            <m:sty m:val="p"/>
          </m:rPr>
          <m:t>=</m:t>
        </m:r>
        <m:r>
          <m:t>.87</m:t>
        </m:r>
      </m:oMath>
      <w:r>
        <w:t xml:space="preserve"> </w:t>
      </w:r>
      <w:r>
        <w:t xml:space="preserve">across valid mappings.</w:t>
      </w:r>
    </w:p>
    <w:bookmarkEnd w:id="27"/>
    <w:bookmarkStart w:id="28" w:name="X7ab22454a44a5a4b470cbae203ba0a61fde2146"/>
    <w:p>
      <w:pPr>
        <w:pStyle w:val="Heading4"/>
      </w:pPr>
      <w:r>
        <w:t xml:space="preserve">Synthetic Architecture C - compact diverse circuit</w:t>
      </w:r>
    </w:p>
    <w:tbl>
      <w:tblPr>
        <w:tblStyle w:val="Table"/>
        <w:tblW w:type="dxa" w:w="9994"/>
        <w:jc w:val="center"/>
        <w:tblLayout w:type="fixed"/>
        <w:tblLook w:firstRow="1" w:lastRow="0" w:firstColumn="0" w:lastColumn="0" w:noHBand="0" w:noVBand="0" w:val="0020"/>
      </w:tblPr>
      <w:tblGrid>
        <w:gridCol w:w="1599"/>
        <w:gridCol w:w="1399"/>
        <w:gridCol w:w="800"/>
        <w:gridCol w:w="1999"/>
        <w:gridCol w:w="999"/>
        <w:gridCol w:w="1199"/>
        <w:gridCol w:w="999"/>
        <w:gridCol w:w="1000"/>
      </w:tblGrid>
      <w:tr>
        <w:trPr>
          <w:tblHeader w:val="on"/>
          <w:cantSplit/>
        </w:trPr>
        <w:tc>
          <w:tcPr>
            <w:tcW w:w="15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Class</w:t>
            </w:r>
          </w:p>
        </w:tc>
        <w:tc>
          <w:tcPr>
            <w:tcW w:w="13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Type</w:t>
            </w:r>
          </w:p>
        </w:tc>
        <w:tc>
          <w:tcPr>
            <w:tcW w:w="800"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Weight</w:t>
            </w:r>
          </w:p>
        </w:tc>
        <w:tc>
          <w:tcPr>
            <w:tcW w:w="19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Effect</w:t>
            </w:r>
          </w:p>
        </w:tc>
        <w:tc>
          <w:tcPr>
            <w:tcW w:w="9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Latency</w:t>
            </w:r>
          </w:p>
        </w:tc>
        <w:tc>
          <w:tcPr>
            <w:tcW w:w="11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Selective</w:t>
            </w:r>
          </w:p>
        </w:tc>
        <w:tc>
          <w:tcPr>
            <w:tcW w:w="9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Route</w:t>
            </w:r>
          </w:p>
        </w:tc>
        <w:tc>
          <w:tcPr>
            <w:tcW w:w="1000"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Context</w:t>
            </w:r>
          </w:p>
        </w:tc>
      </w:tr>
      <w:tr>
        <w:trPr>
          <w:cantSplit/>
        </w:trPr>
        <w:tc>
          <w:tcPr>
            <w:tcW w:w="15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Sensory comparison</w:t>
            </w:r>
          </w:p>
        </w:tc>
        <w:tc>
          <w:tcPr>
            <w:tcW w:w="13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nonexecutive</w:t>
            </w:r>
          </w:p>
        </w:tc>
        <w:tc>
          <w:tcPr>
            <w:tcW w:w="8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.30</w:t>
            </w:r>
          </w:p>
        </w:tc>
        <w:tc>
          <w:tcPr>
            <w:tcW w:w="19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.14</m:t>
              </m:r>
              <m:r>
                <m:rPr>
                  <m:sty m:val="p"/>
                </m:rPr>
                <w:rPr>
                  <w:sz w:val="18"/>
                  <w:szCs w:val="18"/>
                  <w:color w:val="232A30"/>
                </w:rPr>
                <m:t>[</m:t>
              </m:r>
              <m:r>
                <w:rPr>
                  <w:sz w:val="18"/>
                  <w:szCs w:val="18"/>
                  <w:color w:val="232A30"/>
                </w:rPr>
                <m:t>.10</m:t>
              </m:r>
              <m:r>
                <m:rPr>
                  <m:sty m:val="p"/>
                </m:rPr>
                <w:rPr>
                  <w:sz w:val="18"/>
                  <w:szCs w:val="18"/>
                  <w:color w:val="232A30"/>
                </w:rPr>
                <m:t>,</m:t>
              </m:r>
              <m:r>
                <w:rPr>
                  <w:sz w:val="18"/>
                  <w:szCs w:val="18"/>
                  <w:color w:val="232A30"/>
                </w:rPr>
                <m:t>.18</m:t>
              </m:r>
              <m:r>
                <m:rPr>
                  <m:sty m:val="p"/>
                </m:rPr>
                <w:rPr>
                  <w:sz w:val="18"/>
                  <w:szCs w:val="18"/>
                  <w:color w:val="232A30"/>
                </w:rPr>
                <m:t>]</m:t>
              </m:r>
            </m:oMath>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70</w:t>
            </w:r>
          </w:p>
        </w:tc>
        <w:tc>
          <w:tcPr>
            <w:tcW w:w="11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10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r>
      <w:tr>
        <w:trPr>
          <w:cantSplit/>
        </w:trPr>
        <w:tc>
          <w:tcPr>
            <w:tcW w:w="15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Orienting</w:t>
            </w:r>
          </w:p>
        </w:tc>
        <w:tc>
          <w:tcPr>
            <w:tcW w:w="13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nonexecutive</w:t>
            </w:r>
          </w:p>
        </w:tc>
        <w:tc>
          <w:tcPr>
            <w:tcW w:w="8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.25</w:t>
            </w:r>
          </w:p>
        </w:tc>
        <w:tc>
          <w:tcPr>
            <w:tcW w:w="19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.12</m:t>
              </m:r>
              <m:r>
                <m:rPr>
                  <m:sty m:val="p"/>
                </m:rPr>
                <w:rPr>
                  <w:sz w:val="18"/>
                  <w:szCs w:val="18"/>
                  <w:color w:val="232A30"/>
                </w:rPr>
                <m:t>[</m:t>
              </m:r>
              <m:r>
                <w:rPr>
                  <w:sz w:val="18"/>
                  <w:szCs w:val="18"/>
                  <w:color w:val="232A30"/>
                </w:rPr>
                <m:t>.09</m:t>
              </m:r>
              <m:r>
                <m:rPr>
                  <m:sty m:val="p"/>
                </m:rPr>
                <w:rPr>
                  <w:sz w:val="18"/>
                  <w:szCs w:val="18"/>
                  <w:color w:val="232A30"/>
                </w:rPr>
                <m:t>,</m:t>
              </m:r>
              <m:r>
                <w:rPr>
                  <w:sz w:val="18"/>
                  <w:szCs w:val="18"/>
                  <w:color w:val="232A30"/>
                </w:rPr>
                <m:t>.15</m:t>
              </m:r>
              <m:r>
                <m:rPr>
                  <m:sty m:val="p"/>
                </m:rPr>
                <w:rPr>
                  <w:sz w:val="18"/>
                  <w:szCs w:val="18"/>
                  <w:color w:val="232A30"/>
                </w:rPr>
                <m:t>]</m:t>
              </m:r>
            </m:oMath>
          </w:p>
        </w:tc>
        <w:tc>
          <w:tcPr>
            <w:tcW w:w="9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95</w:t>
            </w:r>
          </w:p>
        </w:tc>
        <w:tc>
          <w:tcPr>
            <w:tcW w:w="11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9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10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r>
      <w:tr>
        <w:trPr>
          <w:cantSplit/>
        </w:trPr>
        <w:tc>
          <w:tcPr>
            <w:tcW w:w="15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Value updating</w:t>
            </w:r>
          </w:p>
        </w:tc>
        <w:tc>
          <w:tcPr>
            <w:tcW w:w="13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nonexecutive</w:t>
            </w:r>
          </w:p>
        </w:tc>
        <w:tc>
          <w:tcPr>
            <w:tcW w:w="8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.25</w:t>
            </w:r>
          </w:p>
        </w:tc>
        <w:tc>
          <w:tcPr>
            <w:tcW w:w="1999" w:type="dxa"/>
            <w:vAlign w:val="center"/>
            <w:tcMar>
              <w:top w:w="70" w:type="dxa"/>
              <w:bottom w:w="70" w:type="dxa"/>
              <w:start w:w="85" w:type="dxa"/>
              <w:end w:w="85" w:type="dxa"/>
            </w:tcMar>
            <w:shd w:fill="FFFFFF" w:val="clear"/>
          </w:tcPr>
          <w:p>
            <w:pPr>
              <w:pStyle w:val="Compact"/>
              <w:spacing w:before="0" w:after="40" w:line="240" w:lineRule="auto"/>
              <w:jc w:val="center"/>
            </w:pPr>
            <m:oMath>
              <m:r>
                <w:rPr>
                  <w:sz w:val="18"/>
                  <w:szCs w:val="18"/>
                  <w:color w:val="232A30"/>
                </w:rPr>
                <m:t>.13</m:t>
              </m:r>
              <m:r>
                <m:rPr>
                  <m:sty m:val="p"/>
                </m:rPr>
                <w:rPr>
                  <w:sz w:val="18"/>
                  <w:szCs w:val="18"/>
                  <w:color w:val="232A30"/>
                </w:rPr>
                <m:t>[</m:t>
              </m:r>
              <m:r>
                <w:rPr>
                  <w:sz w:val="18"/>
                  <w:szCs w:val="18"/>
                  <w:color w:val="232A30"/>
                </w:rPr>
                <m:t>.09</m:t>
              </m:r>
              <m:r>
                <m:rPr>
                  <m:sty m:val="p"/>
                </m:rPr>
                <w:rPr>
                  <w:sz w:val="18"/>
                  <w:szCs w:val="18"/>
                  <w:color w:val="232A30"/>
                </w:rPr>
                <m:t>,</m:t>
              </m:r>
              <m:r>
                <w:rPr>
                  <w:sz w:val="18"/>
                  <w:szCs w:val="18"/>
                  <w:color w:val="232A30"/>
                </w:rPr>
                <m:t>.17</m:t>
              </m:r>
              <m:r>
                <m:rPr>
                  <m:sty m:val="p"/>
                </m:rPr>
                <w:rPr>
                  <w:sz w:val="18"/>
                  <w:szCs w:val="18"/>
                  <w:color w:val="232A30"/>
                </w:rPr>
                <m:t>]</m:t>
              </m:r>
            </m:oMath>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110</w:t>
            </w:r>
          </w:p>
        </w:tc>
        <w:tc>
          <w:tcPr>
            <w:tcW w:w="11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999"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10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r>
      <w:tr>
        <w:trPr>
          <w:cantSplit/>
        </w:trPr>
        <w:tc>
          <w:tcPr>
            <w:tcW w:w="15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Homeostatic adjustment</w:t>
            </w:r>
          </w:p>
        </w:tc>
        <w:tc>
          <w:tcPr>
            <w:tcW w:w="13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nonexecutive</w:t>
            </w:r>
          </w:p>
        </w:tc>
        <w:tc>
          <w:tcPr>
            <w:tcW w:w="8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.20</w:t>
            </w:r>
          </w:p>
        </w:tc>
        <w:tc>
          <w:tcPr>
            <w:tcW w:w="1999" w:type="dxa"/>
            <w:vAlign w:val="center"/>
            <w:tcMar>
              <w:top w:w="70" w:type="dxa"/>
              <w:bottom w:w="70" w:type="dxa"/>
              <w:start w:w="85" w:type="dxa"/>
              <w:end w:w="85" w:type="dxa"/>
            </w:tcMar>
            <w:shd w:fill="F4F6F7" w:val="clear"/>
          </w:tcPr>
          <w:p>
            <w:pPr>
              <w:pStyle w:val="Compact"/>
              <w:spacing w:before="0" w:after="40" w:line="240" w:lineRule="auto"/>
              <w:jc w:val="center"/>
            </w:pPr>
            <m:oMath>
              <m:r>
                <w:rPr>
                  <w:sz w:val="18"/>
                  <w:szCs w:val="18"/>
                  <w:color w:val="232A30"/>
                </w:rPr>
                <m:t>.11</m:t>
              </m:r>
              <m:r>
                <m:rPr>
                  <m:sty m:val="p"/>
                </m:rPr>
                <w:rPr>
                  <w:sz w:val="18"/>
                  <w:szCs w:val="18"/>
                  <w:color w:val="232A30"/>
                </w:rPr>
                <m:t>[</m:t>
              </m:r>
              <m:r>
                <w:rPr>
                  <w:sz w:val="18"/>
                  <w:szCs w:val="18"/>
                  <w:color w:val="232A30"/>
                </w:rPr>
                <m:t>.08</m:t>
              </m:r>
              <m:r>
                <m:rPr>
                  <m:sty m:val="p"/>
                </m:rPr>
                <w:rPr>
                  <w:sz w:val="18"/>
                  <w:szCs w:val="18"/>
                  <w:color w:val="232A30"/>
                </w:rPr>
                <m:t>,</m:t>
              </m:r>
              <m:r>
                <w:rPr>
                  <w:sz w:val="18"/>
                  <w:szCs w:val="18"/>
                  <w:color w:val="232A30"/>
                </w:rPr>
                <m:t>.14</m:t>
              </m:r>
              <m:r>
                <m:rPr>
                  <m:sty m:val="p"/>
                </m:rPr>
                <w:rPr>
                  <w:sz w:val="18"/>
                  <w:szCs w:val="18"/>
                  <w:color w:val="232A30"/>
                </w:rPr>
                <m:t>]</m:t>
              </m:r>
            </m:oMath>
          </w:p>
        </w:tc>
        <w:tc>
          <w:tcPr>
            <w:tcW w:w="9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125</w:t>
            </w:r>
          </w:p>
        </w:tc>
        <w:tc>
          <w:tcPr>
            <w:tcW w:w="11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999"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c>
          <w:tcPr>
            <w:tcW w:w="10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yes</w:t>
            </w:r>
          </w:p>
        </w:tc>
      </w:tr>
    </w:tbl>
    <w:p>
      <w:pPr>
        <w:pStyle w:val="BodyText"/>
      </w:pPr>
      <w:r>
        <w:t xml:space="preserve">For the full and reduced families,</w:t>
      </w:r>
      <w:r>
        <w:t xml:space="preserve"> </w:t>
      </w:r>
      <m:oMath>
        <m:sSub>
          <m:e>
            <m:r>
              <m:t>H</m:t>
            </m:r>
          </m:e>
          <m:sub>
            <m:r>
              <m:t>A</m:t>
            </m:r>
          </m:sub>
        </m:sSub>
        <m:r>
          <m:rPr>
            <m:sty m:val="p"/>
          </m:rPr>
          <m:t>≈</m:t>
        </m:r>
        <m:r>
          <m:t>.982</m:t>
        </m:r>
      </m:oMath>
      <w:r>
        <w:t xml:space="preserve">.</w:t>
      </w:r>
    </w:p>
    <w:p>
      <w:pPr>
        <w:pStyle w:val="BodyText"/>
      </w:pPr>
      <m:oMath>
        <m:sSub>
          <m:e>
            <m:r>
              <m:t>R</m:t>
            </m:r>
          </m:e>
          <m:sub>
            <m:r>
              <m:t>A</m:t>
            </m:r>
          </m:sub>
        </m:sSub>
        <m:r>
          <m:rPr>
            <m:sty m:val="p"/>
          </m:rPr>
          <m:t>=</m:t>
        </m:r>
        <m:r>
          <m:t>.91</m:t>
        </m:r>
      </m:oMath>
      <w:r>
        <w:t xml:space="preserve"> </w:t>
      </w:r>
      <w:r>
        <w:t xml:space="preserve">across valid mappings.</w:t>
      </w:r>
    </w:p>
    <w:p>
      <w:pPr>
        <w:pStyle w:val="BodyText"/>
      </w:pPr>
      <w:r>
        <w:t xml:space="preserve">Submit a recipient ledger, routing sketch, full-family result,</w:t>
      </w:r>
      <w:r>
        <w:t xml:space="preserve"> </w:t>
      </w:r>
      <m:oMath>
        <m:sSubSup>
          <m:e>
            <m:r>
              <m:t>N</m:t>
            </m:r>
          </m:e>
          <m:sub>
            <m:r>
              <m:t>2</m:t>
            </m:r>
          </m:sub>
          <m:sup>
            <m:r>
              <m:rPr>
                <m:sty m:val="p"/>
              </m:rPr>
              <m:t>−</m:t>
            </m:r>
            <m:r>
              <m:t>R</m:t>
            </m:r>
          </m:sup>
        </m:sSubSup>
      </m:oMath>
      <w:r>
        <w:t xml:space="preserve">,</w:t>
      </w:r>
      <w:r>
        <w:t xml:space="preserve"> </w:t>
      </w:r>
      <m:oMath>
        <m:sSubSup>
          <m:e>
            <m:r>
              <m:t>N</m:t>
            </m:r>
          </m:e>
          <m:sub>
            <m:r>
              <m:t>2</m:t>
            </m:r>
          </m:sub>
          <m:sup>
            <m:r>
              <m:rPr>
                <m:sty m:val="p"/>
              </m:rPr>
              <m:t>−</m:t>
            </m:r>
            <m:r>
              <m:t>E</m:t>
            </m:r>
          </m:sup>
        </m:sSubSup>
      </m:oMath>
      <w:r>
        <w:t xml:space="preserve">,</w:t>
      </w:r>
      <w:r>
        <w:t xml:space="preserve"> </w:t>
      </w:r>
      <m:oMath>
        <m:sSub>
          <m:e>
            <m:r>
              <m:t>R</m:t>
            </m:r>
          </m:e>
          <m:sub>
            <m:r>
              <m:t>A</m:t>
            </m:r>
          </m:sub>
        </m:sSub>
      </m:oMath>
      <w:r>
        <w:t xml:space="preserve"> </w:t>
      </w:r>
      <w:r>
        <w:t xml:space="preserve">decision, final</w:t>
      </w:r>
      <w:r>
        <w:t xml:space="preserve"> </w:t>
      </w:r>
      <m:oMath>
        <m:sSub>
          <m:e>
            <m:r>
              <m:t>N</m:t>
            </m:r>
          </m:e>
          <m:sub>
            <m:r>
              <m:t>2</m:t>
            </m:r>
          </m:sub>
        </m:sSub>
      </m:oMath>
      <w:r>
        <w:t xml:space="preserve"> </w:t>
      </w:r>
      <w:r>
        <w:t xml:space="preserve">status, and smallest missing or discriminating test.</w:t>
      </w:r>
    </w:p>
    <w:p>
      <w:pPr>
        <w:pStyle w:val="BodyText"/>
      </w:pPr>
      <w:r>
        <w:rPr>
          <w:b/>
          <w:bCs/>
        </w:rPr>
        <w:t xml:space="preserve">Accessible/digital alternative:</w:t>
      </w:r>
      <w:r>
        <w:t xml:space="preserve"> </w:t>
      </w:r>
      <w:r>
        <w:t xml:space="preserve">give the ledger as a filterable spreadsheet with text status columns. Provide the routing sketch as an ordered edge list for students who cannot use a visual graph.</w:t>
      </w:r>
    </w:p>
    <w:bookmarkEnd w:id="28"/>
    <w:bookmarkEnd w:id="29"/>
    <w:bookmarkEnd w:id="30"/>
    <w:bookmarkStart w:id="33" w:name="X992bbf3164bf56c951f73eba33fee1a43050332"/>
    <w:p>
      <w:pPr>
        <w:pStyle w:val="Heading2"/>
        <w:pageBreakBefore/>
      </w:pPr>
      <w:r>
        <w:t xml:space="preserve">Session 6 Resource. Temporal Intervention Studio</w:t>
      </w:r>
    </w:p>
    <w:bookmarkStart w:id="31" w:name="frozen-timeline-and-rules"/>
    <w:p>
      <w:pPr>
        <w:pStyle w:val="Heading3"/>
      </w:pPr>
      <w:r>
        <w:t xml:space="preserve">Frozen Timeline and Rules</w:t>
      </w:r>
    </w:p>
    <w:p>
      <w:pPr>
        <w:pStyle w:val="FirstParagraph"/>
      </w:pPr>
      <w:r>
        <w:t xml:space="preserve">The trial and all results are synthetic.</w:t>
      </w:r>
    </w:p>
    <w:p>
      <w:pPr>
        <w:pStyle w:val="Compact"/>
        <w:numPr>
          <w:ilvl w:val="0"/>
          <w:numId w:val="1007"/>
        </w:numPr>
      </w:pPr>
      <w:r>
        <w:t xml:space="preserve">Feedforward content encoding: 40-90 ms.</w:t>
      </w:r>
    </w:p>
    <w:p>
      <w:pPr>
        <w:pStyle w:val="Compact"/>
        <w:numPr>
          <w:ilvl w:val="0"/>
          <w:numId w:val="1007"/>
        </w:numPr>
      </w:pPr>
      <w:r>
        <w:t xml:space="preserve">Candidate recurrent stabilization: 110-220 ms.</w:t>
      </w:r>
    </w:p>
    <w:p>
      <w:pPr>
        <w:pStyle w:val="Compact"/>
        <w:numPr>
          <w:ilvl w:val="0"/>
          <w:numId w:val="1007"/>
        </w:numPr>
      </w:pPr>
      <w:r>
        <w:t xml:space="preserve">Working-memory maintenance begins: 260 ms.</w:t>
      </w:r>
    </w:p>
    <w:p>
      <w:pPr>
        <w:pStyle w:val="Compact"/>
        <w:numPr>
          <w:ilvl w:val="0"/>
          <w:numId w:val="1007"/>
        </w:numPr>
      </w:pPr>
      <w:r>
        <w:t xml:space="preserve">Report preparation begins: 340 ms.</w:t>
      </w:r>
    </w:p>
    <w:p>
      <w:pPr>
        <w:pStyle w:val="Compact"/>
        <w:numPr>
          <w:ilvl w:val="0"/>
          <w:numId w:val="1007"/>
        </w:numPr>
      </w:pPr>
      <m:oMath>
        <m:sSub>
          <m:e>
            <m:r>
              <m:t>N</m:t>
            </m:r>
          </m:e>
          <m:sub>
            <m:r>
              <m:t>3</m:t>
            </m:r>
          </m:sub>
        </m:sSub>
      </m:oMath>
      <w:r>
        <w:t xml:space="preserve"> </w:t>
      </w:r>
      <w:r>
        <w:t xml:space="preserve">threshold:</w:t>
      </w:r>
      <w:r>
        <w:t xml:space="preserve"> </w:t>
      </w:r>
      <m:oMath>
        <m:r>
          <m:t>.50</m:t>
        </m:r>
      </m:oMath>
      <w:r>
        <w:t xml:space="preserve">.</w:t>
      </w:r>
    </w:p>
    <w:p>
      <w:pPr>
        <w:pStyle w:val="Compact"/>
        <w:numPr>
          <w:ilvl w:val="0"/>
          <w:numId w:val="1007"/>
        </w:numPr>
      </w:pPr>
      <w:r>
        <w:t xml:space="preserve">Minimum intended</w:t>
      </w:r>
      <w:r>
        <w:t xml:space="preserve"> </w:t>
      </w:r>
      <m:oMath>
        <m:sSub>
          <m:e>
            <m:r>
              <m:t>N</m:t>
            </m:r>
          </m:e>
          <m:sub>
            <m:r>
              <m:t>3</m:t>
            </m:r>
          </m:sub>
        </m:sSub>
      </m:oMath>
      <w:r>
        <w:t xml:space="preserve"> </w:t>
      </w:r>
      <w:r>
        <w:t xml:space="preserve">reduction:</w:t>
      </w:r>
      <w:r>
        <w:t xml:space="preserve"> </w:t>
      </w:r>
      <m:oMath>
        <m:sSub>
          <m:e>
            <m:r>
              <m:t>η</m:t>
            </m:r>
          </m:e>
          <m:sub>
            <m:r>
              <m:t>3</m:t>
            </m:r>
          </m:sub>
        </m:sSub>
        <m:r>
          <m:rPr>
            <m:sty m:val="p"/>
          </m:rPr>
          <m:t>=</m:t>
        </m:r>
        <m:r>
          <m:t>.20</m:t>
        </m:r>
      </m:oMath>
      <w:r>
        <w:t xml:space="preserve">; the complete paired</w:t>
      </w:r>
      <w:r>
        <w:t xml:space="preserve"> </w:t>
      </w:r>
      <m:oMath>
        <m:r>
          <m:rPr>
            <m:sty m:val="p"/>
          </m:rPr>
          <m:t>Δ</m:t>
        </m:r>
        <m:sSub>
          <m:e>
            <m:r>
              <m:t>N</m:t>
            </m:r>
          </m:e>
          <m:sub>
            <m:r>
              <m:t>3</m:t>
            </m:r>
          </m:sub>
        </m:sSub>
      </m:oMath>
      <w:r>
        <w:t xml:space="preserve"> </w:t>
      </w:r>
      <w:r>
        <w:t xml:space="preserve">interval must be at or below</w:t>
      </w:r>
      <w:r>
        <w:t xml:space="preserve"> </w:t>
      </w:r>
      <m:oMath>
        <m:r>
          <m:rPr>
            <m:sty m:val="p"/>
          </m:rPr>
          <m:t>−</m:t>
        </m:r>
        <m:r>
          <m:t>.20</m:t>
        </m:r>
      </m:oMath>
      <w:r>
        <w:t xml:space="preserve">.</w:t>
      </w:r>
    </w:p>
    <w:p>
      <w:pPr>
        <w:pStyle w:val="Compact"/>
        <w:numPr>
          <w:ilvl w:val="0"/>
          <w:numId w:val="1007"/>
        </w:numPr>
      </w:pPr>
      <w:r>
        <w:t xml:space="preserve">Initial content fidelity must have a lower bound of at least</w:t>
      </w:r>
      <w:r>
        <w:t xml:space="preserve"> </w:t>
      </w:r>
      <m:oMath>
        <m:r>
          <m:t>.70</m:t>
        </m:r>
      </m:oMath>
      <w:r>
        <w:t xml:space="preserve">.</w:t>
      </w:r>
    </w:p>
    <w:p>
      <w:pPr>
        <w:pStyle w:val="Compact"/>
        <w:numPr>
          <w:ilvl w:val="0"/>
          <w:numId w:val="1007"/>
        </w:numPr>
      </w:pPr>
      <w:r>
        <w:t xml:space="preserve">Candidate reliability must satisfy</w:t>
      </w:r>
      <w:r>
        <w:t xml:space="preserve"> </w:t>
      </w:r>
      <m:oMath>
        <m:sSub>
          <m:e>
            <m:r>
              <m:t>R</m:t>
            </m:r>
          </m:e>
          <m:sub>
            <m:r>
              <m:t>C</m:t>
            </m:r>
          </m:sub>
        </m:sSub>
        <m:r>
          <m:rPr>
            <m:sty m:val="p"/>
          </m:rPr>
          <m:t>≥</m:t>
        </m:r>
        <m:r>
          <m:t>.80</m:t>
        </m:r>
      </m:oMath>
      <w:r>
        <w:t xml:space="preserve">, and cross-condition mapping validity must separately pass.</w:t>
      </w:r>
    </w:p>
    <w:p>
      <w:pPr>
        <w:pStyle w:val="Compact"/>
        <w:numPr>
          <w:ilvl w:val="0"/>
          <w:numId w:val="1007"/>
        </w:numPr>
      </w:pPr>
      <w:r>
        <w:t xml:space="preserve">Retained</w:t>
      </w:r>
      <w:r>
        <w:t xml:space="preserve"> </w:t>
      </w:r>
      <m:oMath>
        <m:r>
          <m:t>V</m:t>
        </m:r>
        <m:r>
          <m:rPr>
            <m:sty m:val="p"/>
          </m:rPr>
          <m:t>,</m:t>
        </m:r>
        <m:sSub>
          <m:e>
            <m:r>
              <m:t>N</m:t>
            </m:r>
          </m:e>
          <m:sub>
            <m:r>
              <m:t>1</m:t>
            </m:r>
          </m:sub>
        </m:sSub>
        <m:r>
          <m:rPr>
            <m:sty m:val="p"/>
          </m:rPr>
          <m:t>,</m:t>
        </m:r>
        <m:sSub>
          <m:e>
            <m:r>
              <m:t>N</m:t>
            </m:r>
          </m:e>
          <m:sub>
            <m:r>
              <m:t>2</m:t>
            </m:r>
          </m:sub>
        </m:sSub>
      </m:oMath>
      <w:r>
        <w:t xml:space="preserve"> </w:t>
      </w:r>
      <w:r>
        <w:t xml:space="preserve">gates use the Session 2 thresholds. For a selectivity claim, each full paired-change interval must be contained in the closed margin</w:t>
      </w:r>
      <w:r>
        <w:t xml:space="preserve"> </w:t>
      </w:r>
      <m:oMath>
        <m:r>
          <m:rPr>
            <m:sty m:val="p"/>
          </m:rPr>
          <m:t>[</m:t>
        </m:r>
        <m:r>
          <m:rPr>
            <m:sty m:val="p"/>
          </m:rPr>
          <m:t>−</m:t>
        </m:r>
        <m:r>
          <m:t>.08</m:t>
        </m:r>
        <m:r>
          <m:rPr>
            <m:sty m:val="p"/>
          </m:rPr>
          <m:t>,</m:t>
        </m:r>
        <m:r>
          <m:t>.08</m:t>
        </m:r>
        <m:r>
          <m:rPr>
            <m:sty m:val="p"/>
          </m:rPr>
          <m:t>]</m:t>
        </m:r>
      </m:oMath>
      <w:r>
        <w:t xml:space="preserve"> </w:t>
      </w:r>
      <w:r>
        <w:t xml:space="preserve">and its post-intervention lower bound must meet or exceed threshold.</w:t>
      </w:r>
    </w:p>
    <w:p>
      <w:pPr>
        <w:pStyle w:val="FirstParagraph"/>
      </w:pPr>
      <w:r>
        <w:t xml:space="preserve">Baseline: content fidelity</w:t>
      </w:r>
      <w:r>
        <w:t xml:space="preserve"> </w:t>
      </w:r>
      <m:oMath>
        <m:r>
          <m:t>.84</m:t>
        </m:r>
        <m:r>
          <m:rPr>
            <m:sty m:val="p"/>
          </m:rPr>
          <m:t>[</m:t>
        </m:r>
        <m:r>
          <m:t>.79</m:t>
        </m:r>
        <m:r>
          <m:rPr>
            <m:sty m:val="p"/>
          </m:rPr>
          <m:t>,</m:t>
        </m:r>
        <m:r>
          <m:t>.89</m:t>
        </m:r>
        <m:r>
          <m:rPr>
            <m:sty m:val="p"/>
          </m:rPr>
          <m:t>]</m:t>
        </m:r>
      </m:oMath>
      <w:r>
        <w:t xml:space="preserve">,</w:t>
      </w:r>
      <w:r>
        <w:t xml:space="preserve"> </w:t>
      </w:r>
      <m:oMath>
        <m:r>
          <m:t>V</m:t>
        </m:r>
        <m:r>
          <m:rPr>
            <m:sty m:val="p"/>
          </m:rPr>
          <m:t>=</m:t>
        </m:r>
        <m:r>
          <m:t>.80</m:t>
        </m:r>
        <m:r>
          <m:rPr>
            <m:sty m:val="p"/>
          </m:rPr>
          <m:t>[</m:t>
        </m:r>
        <m:r>
          <m:t>.75</m:t>
        </m:r>
        <m:r>
          <m:rPr>
            <m:sty m:val="p"/>
          </m:rPr>
          <m:t>,</m:t>
        </m:r>
        <m:r>
          <m:t>.85</m:t>
        </m:r>
        <m:r>
          <m:rPr>
            <m:sty m:val="p"/>
          </m:rPr>
          <m:t>]</m:t>
        </m:r>
      </m:oMath>
      <w:r>
        <w:t xml:space="preserve">,</w:t>
      </w:r>
      <w:r>
        <w:t xml:space="preserve"> </w:t>
      </w:r>
      <m:oMath>
        <m:sSub>
          <m:e>
            <m:r>
              <m:t>N</m:t>
            </m:r>
          </m:e>
          <m:sub>
            <m:r>
              <m:t>1</m:t>
            </m:r>
          </m:sub>
        </m:sSub>
        <m:r>
          <m:rPr>
            <m:sty m:val="p"/>
          </m:rPr>
          <m:t>=</m:t>
        </m:r>
        <m:r>
          <m:t>.73</m:t>
        </m:r>
        <m:r>
          <m:rPr>
            <m:sty m:val="p"/>
          </m:rPr>
          <m:t>[</m:t>
        </m:r>
        <m:r>
          <m:t>.67</m:t>
        </m:r>
        <m:r>
          <m:rPr>
            <m:sty m:val="p"/>
          </m:rPr>
          <m:t>,</m:t>
        </m:r>
        <m:r>
          <m:t>.79</m:t>
        </m:r>
        <m:r>
          <m:rPr>
            <m:sty m:val="p"/>
          </m:rPr>
          <m:t>]</m:t>
        </m:r>
      </m:oMath>
      <w:r>
        <w:t xml:space="preserve">,</w:t>
      </w:r>
      <w:r>
        <w:t xml:space="preserve"> </w:t>
      </w:r>
      <m:oMath>
        <m:sSub>
          <m:e>
            <m:r>
              <m:t>N</m:t>
            </m:r>
          </m:e>
          <m:sub>
            <m:r>
              <m:t>2</m:t>
            </m:r>
          </m:sub>
        </m:sSub>
        <m:r>
          <m:rPr>
            <m:sty m:val="p"/>
          </m:rPr>
          <m:t>=</m:t>
        </m:r>
        <m:r>
          <m:t>.70</m:t>
        </m:r>
        <m:r>
          <m:rPr>
            <m:sty m:val="p"/>
          </m:rPr>
          <m:t>[</m:t>
        </m:r>
        <m:r>
          <m:t>.64</m:t>
        </m:r>
        <m:r>
          <m:rPr>
            <m:sty m:val="p"/>
          </m:rPr>
          <m:t>,</m:t>
        </m:r>
        <m:r>
          <m:t>.76</m:t>
        </m:r>
        <m:r>
          <m:rPr>
            <m:sty m:val="p"/>
          </m:rPr>
          <m:t>]</m:t>
        </m:r>
      </m:oMath>
      <w:r>
        <w:t xml:space="preserve">,</w:t>
      </w:r>
      <w:r>
        <w:t xml:space="preserve"> </w:t>
      </w:r>
      <m:oMath>
        <m:sSub>
          <m:e>
            <m:r>
              <m:t>N</m:t>
            </m:r>
          </m:e>
          <m:sub>
            <m:r>
              <m:t>3</m:t>
            </m:r>
          </m:sub>
        </m:sSub>
        <m:r>
          <m:rPr>
            <m:sty m:val="p"/>
          </m:rPr>
          <m:t>=</m:t>
        </m:r>
        <m:r>
          <m:t>.68</m:t>
        </m:r>
        <m:r>
          <m:rPr>
            <m:sty m:val="p"/>
          </m:rPr>
          <m:t>[</m:t>
        </m:r>
        <m:r>
          <m:t>.62</m:t>
        </m:r>
        <m:r>
          <m:rPr>
            <m:sty m:val="p"/>
          </m:rPr>
          <m:t>,</m:t>
        </m:r>
        <m:r>
          <m:t>.74</m:t>
        </m:r>
        <m:r>
          <m:rPr>
            <m:sty m:val="p"/>
          </m:rPr>
          <m:t>]</m:t>
        </m:r>
      </m:oMath>
      <w:r>
        <w:t xml:space="preserve">, report accuracy</w:t>
      </w:r>
      <w:r>
        <w:t xml:space="preserve"> </w:t>
      </w:r>
      <m:oMath>
        <m:r>
          <m:t>.86</m:t>
        </m:r>
        <m:r>
          <m:rPr>
            <m:sty m:val="p"/>
          </m:rPr>
          <m:t>[</m:t>
        </m:r>
        <m:r>
          <m:t>.80</m:t>
        </m:r>
        <m:r>
          <m:rPr>
            <m:sty m:val="p"/>
          </m:rPr>
          <m:t>,</m:t>
        </m:r>
        <m:r>
          <m:t>.92</m:t>
        </m:r>
        <m:r>
          <m:rPr>
            <m:sty m:val="p"/>
          </m:rPr>
          <m:t>]</m:t>
        </m:r>
      </m:oMath>
      <w:r>
        <w:t xml:space="preserve">.</w:t>
      </w:r>
    </w:p>
    <w:bookmarkEnd w:id="31"/>
    <w:bookmarkStart w:id="32" w:name="student-materials-5"/>
    <w:p>
      <w:pPr>
        <w:pStyle w:val="Heading3"/>
      </w:pPr>
      <w:r>
        <w:t xml:space="preserve">Student Materials</w:t>
      </w:r>
    </w:p>
    <w:p>
      <w:pPr>
        <w:pStyle w:val="FirstParagraph"/>
      </w:pPr>
      <w:r>
        <w:rPr>
          <w:b/>
          <w:bCs/>
        </w:rPr>
        <w:t xml:space="preserve">Core.</w:t>
      </w:r>
      <w:r>
        <w:t xml:space="preserve"> </w:t>
      </w:r>
      <w:r>
        <w:t xml:space="preserve">Draw the frozen timeline. Each team classifies its two assigned conditions; the class synthesizes all five only after every team has stated which causal comparison its partial evidence can and cannot identify.</w:t>
      </w:r>
      <w:r>
        <w:t xml:space="preserve"> </w:t>
      </w:r>
      <w:r>
        <w:rPr>
          <w:b/>
          <w:bCs/>
        </w:rPr>
        <w:t xml:space="preserve">Extension.</w:t>
      </w:r>
      <w:r>
        <w:t xml:space="preserve"> </w:t>
      </w:r>
      <w:r>
        <w:t xml:space="preserve">Compare recurrent System R with duration-matched feedforward System F.</w:t>
      </w:r>
    </w:p>
    <w:p>
      <w:pPr>
        <w:pStyle w:val="BodyText"/>
      </w:pPr>
      <w:r>
        <w:rPr>
          <w:b/>
          <w:bCs/>
        </w:rPr>
        <w:t xml:space="preserve">Extension systems:</w:t>
      </w:r>
      <w:r>
        <w:t xml:space="preserve"> </w:t>
      </w:r>
      <w:r>
        <w:t xml:space="preserve">Both R and F show observable dwell of 240 ms. Cutting R’s feedback edge lowers dwell to 70 ms; pathway rescue restores 230 ms. The same nominal cut changes F by 4 ms. Shortening F’s unit time constant lowers dwell to 75 ms. After small perturbation, R returns to its content-specific trajectory; F decays without return.</w:t>
      </w:r>
    </w:p>
    <w:p>
      <w:pPr>
        <w:pStyle w:val="BodyText"/>
      </w:pPr>
      <w:r>
        <w:t xml:space="preserve">Submit an annotated timeline or ordered event list, the licensed</w:t>
      </w:r>
      <w:r>
        <w:t xml:space="preserve"> </w:t>
      </w:r>
      <m:oMath>
        <m:sSub>
          <m:e>
            <m:r>
              <m:t>N</m:t>
            </m:r>
          </m:e>
          <m:sub>
            <m:r>
              <m:t>3</m:t>
            </m:r>
          </m:sub>
        </m:sSub>
      </m:oMath>
      <w:r>
        <w:t xml:space="preserve"> </w:t>
      </w:r>
      <w:r>
        <w:t xml:space="preserve">test, retained-component checks, recurrence-versus-duration prediction, and one timing ambiguity.</w:t>
      </w:r>
    </w:p>
    <w:p>
      <w:pPr>
        <w:pStyle w:val="BodyText"/>
      </w:pPr>
      <w:r>
        <w:rPr>
          <w:b/>
          <w:bCs/>
        </w:rPr>
        <w:t xml:space="preserve">Accessible/digital alternative:</w:t>
      </w:r>
      <w:r>
        <w:t xml:space="preserve"> </w:t>
      </w:r>
      <w:r>
        <w:t xml:space="preserve">provide both a visual timeline and the ordered timeline rules plus assigned release card. Students may mark intervals in a table rather than drag events on a graphic.</w:t>
      </w:r>
    </w:p>
    <w:bookmarkEnd w:id="32"/>
    <w:bookmarkEnd w:id="33"/>
    <w:bookmarkStart w:id="36" w:name="session-7-resource.-evidence-tribunal"/>
    <w:p>
      <w:pPr>
        <w:pStyle w:val="Heading2"/>
        <w:pageBreakBefore/>
      </w:pPr>
      <w:r>
        <w:t xml:space="preserve">Session 7 Resource. Evidence Tribunal</w:t>
      </w:r>
    </w:p>
    <w:bookmarkStart w:id="34" w:name="frozen-four-outcome-rule"/>
    <w:p>
      <w:pPr>
        <w:pStyle w:val="Heading3"/>
      </w:pPr>
      <w:r>
        <w:t xml:space="preserve">Frozen Four-Outcome Rule</w:t>
      </w:r>
    </w:p>
    <w:p>
      <w:pPr>
        <w:pStyle w:val="FirstParagraph"/>
      </w:pPr>
      <w:r>
        <w:t xml:space="preserve">All assessments are synthetic. The positive threshold is</w:t>
      </w:r>
      <w:r>
        <w:t xml:space="preserve"> </w:t>
      </w:r>
      <m:oMath>
        <m:sSub>
          <m:e>
            <m:r>
              <m:t>τ</m:t>
            </m:r>
          </m:e>
          <m:sub>
            <m:r>
              <m:rPr>
                <m:sty m:val="p"/>
              </m:rPr>
              <m:t>+</m:t>
            </m:r>
          </m:sub>
        </m:sSub>
        <m:r>
          <m:rPr>
            <m:sty m:val="p"/>
          </m:rPr>
          <m:t>=</m:t>
        </m:r>
        <m:r>
          <m:t>.70</m:t>
        </m:r>
      </m:oMath>
      <w:r>
        <w:t xml:space="preserve"> </w:t>
      </w:r>
      <w:r>
        <w:t xml:space="preserve">and the negative threshold is</w:t>
      </w:r>
      <w:r>
        <w:t xml:space="preserve"> </w:t>
      </w:r>
      <m:oMath>
        <m:sSub>
          <m:e>
            <m:r>
              <m:t>τ</m:t>
            </m:r>
          </m:e>
          <m:sub>
            <m:r>
              <m:rPr>
                <m:sty m:val="p"/>
              </m:rPr>
              <m:t>−</m:t>
            </m:r>
          </m:sub>
        </m:sSub>
        <m:r>
          <m:rPr>
            <m:sty m:val="p"/>
          </m:rPr>
          <m:t>=</m:t>
        </m:r>
        <m:r>
          <m:t>.30</m:t>
        </m:r>
      </m:oMath>
      <w:r>
        <w:t xml:space="preserve">. Applicability and execution quality must pass before the score is interpreted. Credible conflict precedes thresholds.</w:t>
      </w:r>
    </w:p>
    <w:bookmarkEnd w:id="34"/>
    <w:bookmarkStart w:id="35" w:name="student-materials-6"/>
    <w:p>
      <w:pPr>
        <w:pStyle w:val="Heading3"/>
      </w:pPr>
      <w:r>
        <w:t xml:space="preserve">Student Materials</w:t>
      </w:r>
    </w:p>
    <w:p>
      <w:pPr>
        <w:pStyle w:val="FirstParagraph"/>
      </w:pPr>
      <w:r>
        <w:rPr>
          <w:b/>
          <w:bCs/>
        </w:rPr>
        <w:t xml:space="preserve">Core.</w:t>
      </w:r>
      <w:r>
        <w:t xml:space="preserve"> </w:t>
      </w:r>
      <w:r>
        <w:t xml:space="preserve">Ensure that all four scientific outcomes appear: with four teams assign A, B, D, and F; with six teams assign A-F.</w:t>
      </w:r>
      <w:r>
        <w:t xml:space="preserve"> </w:t>
      </w:r>
      <w:r>
        <w:rPr>
          <w:b/>
          <w:bCs/>
        </w:rPr>
        <w:t xml:space="preserve">Extension.</w:t>
      </w:r>
      <w:r>
        <w:t xml:space="preserve"> </w:t>
      </w:r>
      <w:r>
        <w:t xml:space="preserve">Use C to compare threshold uncertainty with surrogate conflict and E to compare numerical passage with failed applicability. For the six-case audit, give each variant equal target-distribution weight</w:t>
      </w:r>
      <w:r>
        <w:t xml:space="preserve"> </w:t>
      </w:r>
      <m:oMath>
        <m:r>
          <m:t>1</m:t>
        </m:r>
        <m:r>
          <m:rPr>
            <m:sty m:val="p"/>
          </m:rPr>
          <m:t>/</m:t>
        </m:r>
        <m:r>
          <m:t>6</m:t>
        </m:r>
      </m:oMath>
      <w:r>
        <w:t xml:space="preserve">. Report decisive classification coverage (positive plus negative),</w:t>
      </w:r>
      <w:r>
        <w:t xml:space="preserve"> </w:t>
      </w:r>
      <m:oMath>
        <m:sSub>
          <m:e>
            <m:r>
              <m:t>r</m:t>
            </m:r>
          </m:e>
          <m:sub>
            <m:r>
              <m:t>I</m:t>
            </m:r>
          </m:sub>
        </m:sSub>
      </m:oMath>
      <w:r>
        <w:t xml:space="preserve">,</w:t>
      </w:r>
      <w:r>
        <w:t xml:space="preserve"> </w:t>
      </w:r>
      <m:oMath>
        <m:sSub>
          <m:e>
            <m:r>
              <m:t>r</m:t>
            </m:r>
          </m:e>
          <m:sub>
            <m:r>
              <m:t>U</m:t>
            </m:r>
          </m:sub>
        </m:sSub>
      </m:oMath>
      <w:r>
        <w:t xml:space="preserve">, and whether all four outcome classes are represented.</w:t>
      </w:r>
    </w:p>
    <w:p>
      <w:pPr>
        <w:pStyle w:val="BodyText"/>
      </w:pPr>
      <w:r>
        <w:t xml:space="preserve">Every variant concerns the same severe-injury patient and minimal phenomenal presence during one specified 30-second trial. A reversible visual communication trial costs 1 loss unit; missing genuine command following costs 20 loss units. On these simplified teaching losses, the trial is favored only if the decision maker’s probability of genuine command following exceeds</w:t>
      </w:r>
      <w:r>
        <w:t xml:space="preserve"> </w:t>
      </w:r>
      <m:oMath>
        <m:r>
          <m:t>.05</m:t>
        </m:r>
      </m:oMath>
      <w:r>
        <w:t xml:space="preserve">. No such probability is supplied, so an action recommendation is not uniquely determined; teams must state their assumption after fixing the scientific verdict.</w:t>
      </w:r>
    </w:p>
    <w:p>
      <w:pPr>
        <w:pStyle w:val="BodyText"/>
      </w:pPr>
      <w:r>
        <w:t xml:space="preserve">Submit outcome, decisive precedence rule, cause profile emphasis, strongest licensed conclusion, forbidden inference, smallest next study, and a separate action recommendation.</w:t>
      </w:r>
    </w:p>
    <w:p>
      <w:pPr>
        <w:pStyle w:val="BodyText"/>
      </w:pPr>
      <w:r>
        <w:rPr>
          <w:b/>
          <w:bCs/>
        </w:rPr>
        <w:t xml:space="preserve">Accessible/digital alternative:</w:t>
      </w:r>
      <w:r>
        <w:t xml:space="preserve"> </w:t>
      </w:r>
      <w:r>
        <w:t xml:space="preserve">run the tribunal in a shared document. Advocates submit 100-word briefs; the validity officer marks admissible fields; the chair releases a written ruling.</w:t>
      </w:r>
    </w:p>
    <w:bookmarkEnd w:id="35"/>
    <w:bookmarkEnd w:id="36"/>
    <w:bookmarkStart w:id="39" w:name="X265ac78b9d4430879a79dacbe9107d8855ae428"/>
    <w:p>
      <w:pPr>
        <w:pStyle w:val="Heading2"/>
        <w:pageBreakBefore/>
      </w:pPr>
      <w:r>
        <w:t xml:space="preserve">Session 8 Resource. Diagnostic-Cell Dataset</w:t>
      </w:r>
    </w:p>
    <w:bookmarkStart w:id="37" w:name="frozen-audit-rules"/>
    <w:p>
      <w:pPr>
        <w:pStyle w:val="Heading3"/>
      </w:pPr>
      <w:r>
        <w:t xml:space="preserve">Frozen Audit Rules</w:t>
      </w:r>
    </w:p>
    <w:p>
      <w:pPr>
        <w:pStyle w:val="FirstParagraph"/>
      </w:pPr>
      <w:r>
        <w:t xml:space="preserve">The dataset is synthetic and audits</w:t>
      </w:r>
      <w:r>
        <w:t xml:space="preserve"> </w:t>
      </w:r>
      <m:oMath>
        <m:sSub>
          <m:e>
            <m:r>
              <m:t>N</m:t>
            </m:r>
          </m:e>
          <m:sub>
            <m:r>
              <m:t>2</m:t>
            </m:r>
          </m:sub>
        </m:sSub>
      </m:oMath>
      <w:r>
        <w:t xml:space="preserve">.</w:t>
      </w:r>
    </w:p>
    <w:p>
      <w:pPr>
        <w:pStyle w:val="Compact"/>
        <w:numPr>
          <w:ilvl w:val="0"/>
          <w:numId w:val="1008"/>
        </w:numPr>
      </w:pPr>
      <w:r>
        <w:t xml:space="preserve">Every component threshold is</w:t>
      </w:r>
      <w:r>
        <w:t xml:space="preserve"> </w:t>
      </w:r>
      <m:oMath>
        <m:r>
          <m:t>.60</m:t>
        </m:r>
      </m:oMath>
      <w:r>
        <w:t xml:space="preserve">.</w:t>
      </w:r>
    </w:p>
    <w:p>
      <w:pPr>
        <w:pStyle w:val="Compact"/>
        <w:numPr>
          <w:ilvl w:val="0"/>
          <w:numId w:val="1008"/>
        </w:numPr>
      </w:pPr>
      <w:r>
        <w:t xml:space="preserve">A conservative diagnostic case has</w:t>
      </w:r>
      <w:r>
        <w:t xml:space="preserve"> </w:t>
      </w:r>
      <m:oMath>
        <m:sSub>
          <m:e>
            <m:r>
              <m:t>U</m:t>
            </m:r>
          </m:e>
          <m:sub>
            <m:r>
              <m:t>2</m:t>
            </m:r>
          </m:sub>
        </m:sSub>
        <m:r>
          <m:rPr>
            <m:sty m:val="p"/>
          </m:rPr>
          <m:t>&lt;</m:t>
        </m:r>
        <m:r>
          <m:t>.60</m:t>
        </m:r>
      </m:oMath>
      <w:r>
        <w:t xml:space="preserve"> </w:t>
      </w:r>
      <w:r>
        <w:t xml:space="preserve">and lower bounds for</w:t>
      </w:r>
      <w:r>
        <w:t xml:space="preserve"> </w:t>
      </w:r>
      <m:oMath>
        <m:r>
          <m:t>V</m:t>
        </m:r>
        <m:r>
          <m:rPr>
            <m:sty m:val="p"/>
          </m:rPr>
          <m:t>,</m:t>
        </m:r>
        <m:sSub>
          <m:e>
            <m:r>
              <m:t>N</m:t>
            </m:r>
          </m:e>
          <m:sub>
            <m:r>
              <m:t>1</m:t>
            </m:r>
          </m:sub>
        </m:sSub>
        <m:r>
          <m:rPr>
            <m:sty m:val="p"/>
          </m:rPr>
          <m:t>,</m:t>
        </m:r>
        <m:sSub>
          <m:e>
            <m:r>
              <m:t>N</m:t>
            </m:r>
          </m:e>
          <m:sub>
            <m:r>
              <m:t>3</m:t>
            </m:r>
          </m:sub>
        </m:sSub>
      </m:oMath>
      <w:r>
        <w:t xml:space="preserve"> </w:t>
      </w:r>
      <w:r>
        <w:t xml:space="preserve">strictly above</w:t>
      </w:r>
      <w:r>
        <w:t xml:space="preserve"> </w:t>
      </w:r>
      <m:oMath>
        <m:r>
          <m:t>.60</m:t>
        </m:r>
      </m:oMath>
      <w:r>
        <w:t xml:space="preserve">, matching the ablation paper’s conservative diagnostic-region rule.</w:t>
      </w:r>
    </w:p>
    <w:p>
      <w:pPr>
        <w:pStyle w:val="Compact"/>
        <w:numPr>
          <w:ilvl w:val="0"/>
          <w:numId w:val="1008"/>
        </w:numPr>
      </w:pPr>
      <w:r>
        <w:t xml:space="preserve">Minimum meaningful held-out risk improvement is</w:t>
      </w:r>
      <w:r>
        <w:t xml:space="preserve"> </w:t>
      </w:r>
      <m:oMath>
        <m:r>
          <m:t>.05</m:t>
        </m:r>
      </m:oMath>
      <w:r>
        <w:t xml:space="preserve">.</w:t>
      </w:r>
    </w:p>
    <w:p>
      <w:pPr>
        <w:pStyle w:val="Compact"/>
        <w:numPr>
          <w:ilvl w:val="0"/>
          <w:numId w:val="1008"/>
        </w:numPr>
      </w:pPr>
      <w:r>
        <w:t xml:space="preserve">Diagnostic coverage is the sum of target-population weights for valid diagnostic cases.</w:t>
      </w:r>
    </w:p>
    <w:p>
      <w:pPr>
        <w:pStyle w:val="Compact"/>
        <w:numPr>
          <w:ilvl w:val="0"/>
          <w:numId w:val="1008"/>
        </w:numPr>
      </w:pPr>
      <w:r>
        <w:t xml:space="preserve">Coverage of at least</w:t>
      </w:r>
      <w:r>
        <w:t xml:space="preserve"> </w:t>
      </w:r>
      <m:oMath>
        <m:r>
          <m:t>.15</m:t>
        </m:r>
      </m:oMath>
      <w:r>
        <w:t xml:space="preserve"> </w:t>
      </w:r>
      <w:r>
        <w:t xml:space="preserve">is adequate for this exercise.</w:t>
      </w:r>
    </w:p>
    <w:p>
      <w:pPr>
        <w:pStyle w:val="Compact"/>
        <w:numPr>
          <w:ilvl w:val="0"/>
          <w:numId w:val="1008"/>
        </w:numPr>
      </w:pPr>
      <w:r>
        <w:t xml:space="preserve">Rows with dual-use anchors, retrospective selection, or an unstable / unmappable frozen</w:t>
      </w:r>
      <w:r>
        <w:t xml:space="preserve"> </w:t>
      </w:r>
      <m:oMath>
        <m:sSub>
          <m:e>
            <m:r>
              <m:rPr>
                <m:scr m:val="script"/>
                <m:sty m:val="p"/>
              </m:rPr>
              <m:t>P</m:t>
            </m:r>
          </m:e>
          <m:sub>
            <m:r>
              <m:rPr>
                <m:sty m:val="p"/>
              </m:rPr>
              <m:t>Θ</m:t>
            </m:r>
          </m:sub>
        </m:sSub>
      </m:oMath>
      <w:r>
        <w:t xml:space="preserve"> </w:t>
      </w:r>
      <w:r>
        <w:t xml:space="preserve">referent are unlicensed and excluded from the confirmatory profile audit.</w:t>
      </w:r>
    </w:p>
    <w:bookmarkEnd w:id="37"/>
    <w:bookmarkStart w:id="38" w:name="student-materials-7"/>
    <w:p>
      <w:pPr>
        <w:pStyle w:val="Heading3"/>
      </w:pPr>
      <w:r>
        <w:t xml:space="preserve">Student Materials</w:t>
      </w:r>
    </w:p>
    <w:p>
      <w:pPr>
        <w:pStyle w:val="FirstParagraph"/>
      </w:pPr>
      <w:r>
        <w:rPr>
          <w:b/>
          <w:bCs/>
        </w:rPr>
        <w:t xml:space="preserve">Core.</w:t>
      </w:r>
      <w:r>
        <w:t xml:space="preserve"> </w:t>
      </w:r>
      <w:r>
        <w:t xml:space="preserve">Analyze Rows 1-8.</w:t>
      </w:r>
      <w:r>
        <w:t xml:space="preserve"> </w:t>
      </w:r>
      <w:r>
        <w:rPr>
          <w:b/>
          <w:bCs/>
        </w:rPr>
        <w:t xml:space="preserve">Extension.</w:t>
      </w:r>
      <w:r>
        <w:t xml:space="preserve"> </w:t>
      </w:r>
      <w:r>
        <w:t xml:space="preserve">Add Rows 9-12 and perform the full independence audit.</w:t>
      </w:r>
    </w:p>
    <w:p>
      <w:pPr>
        <w:pStyle w:val="BodyText"/>
      </w:pPr>
      <w:r>
        <w:t xml:space="preserve">Intervals are shown as lower-upper.</w:t>
      </w:r>
      <w:r>
        <w:t xml:space="preserve"> </w:t>
      </w:r>
      <m:oMath>
        <m:sSub>
          <m:e>
            <m:r>
              <m:t>R</m:t>
            </m:r>
          </m:e>
          <m:sub>
            <m:r>
              <m:rPr>
                <m:sty m:val="p"/>
              </m:rPr>
              <m:t>*</m:t>
            </m:r>
          </m:sub>
        </m:sSub>
      </m:oMath>
      <w:r>
        <w:t xml:space="preserve"> </w:t>
      </w:r>
      <w:r>
        <w:t xml:space="preserve">is full-model held-out anchor risk;</w:t>
      </w:r>
      <w:r>
        <w:t xml:space="preserve"> </w:t>
      </w:r>
      <m:oMath>
        <m:sSub>
          <m:e>
            <m:r>
              <m:t>R</m:t>
            </m:r>
          </m:e>
          <m:sub>
            <m:r>
              <m:rPr>
                <m:sty m:val="p"/>
              </m:rPr>
              <m:t>−</m:t>
            </m:r>
            <m:r>
              <m:t>2</m:t>
            </m:r>
          </m:sub>
        </m:sSub>
      </m:oMath>
      <w:r>
        <w:t xml:space="preserve"> </w:t>
      </w:r>
      <w:r>
        <w:t xml:space="preserve">is risk for the</w:t>
      </w:r>
      <w:r>
        <w:t xml:space="preserve"> </w:t>
      </w:r>
      <m:oMath>
        <m:sSub>
          <m:e>
            <m:r>
              <m:t>N</m:t>
            </m:r>
          </m:e>
          <m:sub>
            <m:r>
              <m:t>2</m:t>
            </m:r>
          </m:sub>
        </m:sSub>
      </m:oMath>
      <w:r>
        <w:t xml:space="preserve">-ablated model. Lower risk is better. Except where the disclosed fact says otherwise, the anchor vector was frozen on a separate split and combines low-demand discrimination stability, perturbational response structure, and a no-report state marker; none shares a sensor, derived feature, or recipient-route score with the</w:t>
      </w:r>
      <w:r>
        <w:t xml:space="preserve"> </w:t>
      </w:r>
      <m:oMath>
        <m:sSub>
          <m:e>
            <m:r>
              <m:t>N</m:t>
            </m:r>
          </m:e>
          <m:sub>
            <m:r>
              <m:t>2</m:t>
            </m:r>
          </m:sub>
        </m:sSub>
      </m:oMath>
      <w:r>
        <w:t xml:space="preserve"> </w:t>
      </w:r>
      <w:r>
        <w:t xml:space="preserve">predictor.</w:t>
      </w:r>
    </w:p>
    <w:tbl>
      <w:tblPr>
        <w:tblStyle w:val="Table"/>
        <w:tblW w:type="dxa" w:w="9994"/>
        <w:jc w:val="center"/>
        <w:tblLayout w:type="fixed"/>
        <w:tblLook w:firstRow="1" w:lastRow="0" w:firstColumn="0" w:lastColumn="0" w:noHBand="0" w:noVBand="0" w:val="0020"/>
      </w:tblPr>
      <w:tblGrid>
        <w:gridCol w:w="500"/>
        <w:gridCol w:w="700"/>
        <w:gridCol w:w="999"/>
        <w:gridCol w:w="999"/>
        <w:gridCol w:w="999"/>
        <w:gridCol w:w="999"/>
        <w:gridCol w:w="700"/>
        <w:gridCol w:w="700"/>
        <w:gridCol w:w="3398"/>
      </w:tblGrid>
      <w:tr>
        <w:trPr>
          <w:tblHeader w:val="on"/>
          <w:cantSplit/>
        </w:trPr>
        <w:tc>
          <w:tcPr>
            <w:tcW w:w="500" w:type="dxa"/>
            <w:vAlign w:val="center"/>
            <w:tcMar>
              <w:top w:w="55" w:type="dxa"/>
              <w:bottom w:w="55" w:type="dxa"/>
              <w:start w:w="40" w:type="dxa"/>
              <w:end w:w="40"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Row</w:t>
            </w:r>
          </w:p>
        </w:tc>
        <w:tc>
          <w:tcPr>
            <w:tcW w:w="700" w:type="dxa"/>
            <w:vAlign w:val="center"/>
            <w:tcMar>
              <w:top w:w="55" w:type="dxa"/>
              <w:bottom w:w="55" w:type="dxa"/>
              <w:start w:w="40" w:type="dxa"/>
              <w:end w:w="40"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Weight</w:t>
            </w:r>
          </w:p>
        </w:tc>
        <w:tc>
          <w:tcPr>
            <w:tcW w:w="999" w:type="dxa"/>
            <w:vAlign w:val="center"/>
            <w:tcMar>
              <w:top w:w="55" w:type="dxa"/>
              <w:bottom w:w="55" w:type="dxa"/>
              <w:start w:w="40" w:type="dxa"/>
              <w:end w:w="40"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V</w:t>
            </w:r>
          </w:p>
        </w:tc>
        <w:tc>
          <w:tcPr>
            <w:tcW w:w="999" w:type="dxa"/>
            <w:vAlign w:val="center"/>
            <w:tcMar>
              <w:top w:w="55" w:type="dxa"/>
              <w:bottom w:w="55" w:type="dxa"/>
              <w:start w:w="40" w:type="dxa"/>
              <w:end w:w="40"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N₁</w:t>
            </w:r>
          </w:p>
        </w:tc>
        <w:tc>
          <w:tcPr>
            <w:tcW w:w="999" w:type="dxa"/>
            <w:vAlign w:val="center"/>
            <w:tcMar>
              <w:top w:w="55" w:type="dxa"/>
              <w:bottom w:w="55" w:type="dxa"/>
              <w:start w:w="40" w:type="dxa"/>
              <w:end w:w="40"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N₂</w:t>
            </w:r>
          </w:p>
        </w:tc>
        <w:tc>
          <w:tcPr>
            <w:tcW w:w="999" w:type="dxa"/>
            <w:vAlign w:val="center"/>
            <w:tcMar>
              <w:top w:w="55" w:type="dxa"/>
              <w:bottom w:w="55" w:type="dxa"/>
              <w:start w:w="40" w:type="dxa"/>
              <w:end w:w="40"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N₃</w:t>
            </w:r>
          </w:p>
        </w:tc>
        <w:tc>
          <w:tcPr>
            <w:tcW w:w="700" w:type="dxa"/>
            <w:vAlign w:val="center"/>
            <w:tcMar>
              <w:top w:w="55" w:type="dxa"/>
              <w:bottom w:w="55" w:type="dxa"/>
              <w:start w:w="40" w:type="dxa"/>
              <w:end w:w="40"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R_*</w:t>
            </w:r>
          </w:p>
        </w:tc>
        <w:tc>
          <w:tcPr>
            <w:tcW w:w="700" w:type="dxa"/>
            <w:vAlign w:val="center"/>
            <w:tcMar>
              <w:top w:w="55" w:type="dxa"/>
              <w:bottom w:w="55" w:type="dxa"/>
              <w:start w:w="40" w:type="dxa"/>
              <w:end w:w="40"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R−₂</w:t>
            </w:r>
          </w:p>
        </w:tc>
        <w:tc>
          <w:tcPr>
            <w:tcW w:w="3398" w:type="dxa"/>
            <w:vAlign w:val="center"/>
            <w:tcMar>
              <w:top w:w="55" w:type="dxa"/>
              <w:bottom w:w="55" w:type="dxa"/>
              <w:start w:w="40" w:type="dxa"/>
              <w:end w:w="40"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Additional disclosed fact</w:t>
            </w:r>
          </w:p>
        </w:tc>
      </w:tr>
      <w:tr>
        <w:trPr>
          <w:cantSplit/>
        </w:trPr>
        <w:tc>
          <w:tcPr>
            <w:tcW w:w="5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.72-.82</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.70-.80</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.68-.78</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.66-.76</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.21</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.22</w:t>
            </w:r>
          </w:p>
        </w:tc>
        <w:tc>
          <w:tcPr>
            <w:tcW w:w="3398" w:type="dxa"/>
            <w:vAlign w:val="center"/>
            <w:tcMar>
              <w:top w:w="55" w:type="dxa"/>
              <w:bottom w:w="55" w:type="dxa"/>
              <w:start w:w="40" w:type="dxa"/>
              <w:end w:w="40"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valid</w:t>
            </w:r>
          </w:p>
        </w:tc>
      </w:tr>
      <w:tr>
        <w:trPr>
          <w:cantSplit/>
        </w:trPr>
        <w:tc>
          <w:tcPr>
            <w:tcW w:w="5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.20-.35</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.25-.40</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.22-.38</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.28-.43</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.18</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.19</w:t>
            </w:r>
          </w:p>
        </w:tc>
        <w:tc>
          <w:tcPr>
            <w:tcW w:w="3398" w:type="dxa"/>
            <w:vAlign w:val="center"/>
            <w:tcMar>
              <w:top w:w="55" w:type="dxa"/>
              <w:bottom w:w="55" w:type="dxa"/>
              <w:start w:w="40" w:type="dxa"/>
              <w:end w:w="40"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applicability and measurement quality pass</w:t>
            </w:r>
          </w:p>
        </w:tc>
      </w:tr>
      <w:tr>
        <w:trPr>
          <w:cantSplit/>
        </w:trPr>
        <w:tc>
          <w:tcPr>
            <w:tcW w:w="5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.08</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.73-.83</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.71-.81</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.35-.45</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.69-.79</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.20</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.42</w:t>
            </w:r>
          </w:p>
        </w:tc>
        <w:tc>
          <w:tcPr>
            <w:tcW w:w="3398" w:type="dxa"/>
            <w:vAlign w:val="center"/>
            <w:tcMar>
              <w:top w:w="55" w:type="dxa"/>
              <w:bottom w:w="55" w:type="dxa"/>
              <w:start w:w="40" w:type="dxa"/>
              <w:end w:w="40"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valid</w:t>
            </w:r>
          </w:p>
        </w:tc>
      </w:tr>
      <w:tr>
        <w:trPr>
          <w:cantSplit/>
        </w:trPr>
        <w:tc>
          <w:tcPr>
            <w:tcW w:w="5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4</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.07</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.70-.80</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.74-.84</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.40-.50</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.67-.77</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.25</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.43</w:t>
            </w:r>
          </w:p>
        </w:tc>
        <w:tc>
          <w:tcPr>
            <w:tcW w:w="3398" w:type="dxa"/>
            <w:vAlign w:val="center"/>
            <w:tcMar>
              <w:top w:w="55" w:type="dxa"/>
              <w:bottom w:w="55" w:type="dxa"/>
              <w:start w:w="40" w:type="dxa"/>
              <w:end w:w="40"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valid</w:t>
            </w:r>
          </w:p>
        </w:tc>
      </w:tr>
      <w:tr>
        <w:trPr>
          <w:cantSplit/>
        </w:trPr>
        <w:tc>
          <w:tcPr>
            <w:tcW w:w="5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5</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.74-.84</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.37-.47</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.70-.80</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.68-.78</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.23</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.24</w:t>
            </w:r>
          </w:p>
        </w:tc>
        <w:tc>
          <w:tcPr>
            <w:tcW w:w="3398" w:type="dxa"/>
            <w:vAlign w:val="center"/>
            <w:tcMar>
              <w:top w:w="55" w:type="dxa"/>
              <w:bottom w:w="55" w:type="dxa"/>
              <w:start w:w="40" w:type="dxa"/>
              <w:end w:w="40"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applicability and measurement quality pass</w:t>
            </w:r>
          </w:p>
        </w:tc>
      </w:tr>
      <w:tr>
        <w:trPr>
          <w:cantSplit/>
        </w:trPr>
        <w:tc>
          <w:tcPr>
            <w:tcW w:w="5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6</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.72-.82</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.71-.81</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.55-.65</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.69-.79</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.28</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.31</w:t>
            </w:r>
          </w:p>
        </w:tc>
        <w:tc>
          <w:tcPr>
            <w:tcW w:w="3398" w:type="dxa"/>
            <w:vAlign w:val="center"/>
            <w:tcMar>
              <w:top w:w="55" w:type="dxa"/>
              <w:bottom w:w="55" w:type="dxa"/>
              <w:start w:w="40" w:type="dxa"/>
              <w:end w:w="40"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applicability and measurement quality pass</w:t>
            </w:r>
          </w:p>
        </w:tc>
      </w:tr>
      <w:tr>
        <w:trPr>
          <w:cantSplit/>
        </w:trPr>
        <w:tc>
          <w:tcPr>
            <w:tcW w:w="5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7</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.55-.65</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.72-.82</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.38-.48</w:t>
            </w:r>
          </w:p>
        </w:tc>
        <w:tc>
          <w:tcPr>
            <w:tcW w:w="999"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.68-.78</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.30</w:t>
            </w:r>
          </w:p>
        </w:tc>
        <w:tc>
          <w:tcPr>
            <w:tcW w:w="700" w:type="dxa"/>
            <w:vAlign w:val="center"/>
            <w:tcMar>
              <w:top w:w="55" w:type="dxa"/>
              <w:bottom w:w="55" w:type="dxa"/>
              <w:start w:w="40" w:type="dxa"/>
              <w:end w:w="40"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.38</w:t>
            </w:r>
          </w:p>
        </w:tc>
        <w:tc>
          <w:tcPr>
            <w:tcW w:w="3398" w:type="dxa"/>
            <w:vAlign w:val="center"/>
            <w:tcMar>
              <w:top w:w="55" w:type="dxa"/>
              <w:bottom w:w="55" w:type="dxa"/>
              <w:start w:w="40" w:type="dxa"/>
              <w:end w:w="40"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applicability and measurement quality pass</w:t>
            </w:r>
          </w:p>
        </w:tc>
      </w:tr>
      <w:tr>
        <w:trPr>
          <w:cantSplit/>
        </w:trPr>
        <w:tc>
          <w:tcPr>
            <w:tcW w:w="5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8</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.73-.83</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.72-.82</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.33-.43</w:t>
            </w:r>
          </w:p>
        </w:tc>
        <w:tc>
          <w:tcPr>
            <w:tcW w:w="999"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.36-.46</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.26</w:t>
            </w:r>
          </w:p>
        </w:tc>
        <w:tc>
          <w:tcPr>
            <w:tcW w:w="700" w:type="dxa"/>
            <w:vAlign w:val="center"/>
            <w:tcMar>
              <w:top w:w="55" w:type="dxa"/>
              <w:bottom w:w="55" w:type="dxa"/>
              <w:start w:w="40" w:type="dxa"/>
              <w:end w:w="40"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.35</w:t>
            </w:r>
          </w:p>
        </w:tc>
        <w:tc>
          <w:tcPr>
            <w:tcW w:w="3398" w:type="dxa"/>
            <w:vAlign w:val="center"/>
            <w:tcMar>
              <w:top w:w="55" w:type="dxa"/>
              <w:bottom w:w="55" w:type="dxa"/>
              <w:start w:w="40" w:type="dxa"/>
              <w:end w:w="40"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applicability and measurement quality pass</w:t>
            </w:r>
          </w:p>
        </w:tc>
      </w:tr>
    </w:tbl>
    <w:p>
      <w:pPr>
        <w:pStyle w:val="BodyText"/>
      </w:pPr>
      <w:r>
        <w:t xml:space="preserve">For the core valid diagnostic set, use the supplied synthetic bootstrap interval</w:t>
      </w:r>
      <w:r>
        <w:t xml:space="preserve"> </w:t>
      </w:r>
      <m:oMath>
        <m:sSub>
          <m:e>
            <m:r>
              <m:rPr>
                <m:sty m:val="p"/>
              </m:rPr>
              <m:t>Δ</m:t>
            </m:r>
          </m:e>
          <m:sub>
            <m:r>
              <m:t>2</m:t>
            </m:r>
          </m:sub>
        </m:sSub>
        <m:r>
          <m:rPr>
            <m:sty m:val="p"/>
          </m:rPr>
          <m:t>=</m:t>
        </m:r>
        <m:sSub>
          <m:e>
            <m:r>
              <m:t>R</m:t>
            </m:r>
          </m:e>
          <m:sub>
            <m:r>
              <m:rPr>
                <m:sty m:val="p"/>
              </m:rPr>
              <m:t>−</m:t>
            </m:r>
            <m:r>
              <m:t>2</m:t>
            </m:r>
          </m:sub>
        </m:sSub>
        <m:r>
          <m:rPr>
            <m:sty m:val="p"/>
          </m:rPr>
          <m:t>−</m:t>
        </m:r>
        <m:sSub>
          <m:e>
            <m:r>
              <m:t>R</m:t>
            </m:r>
          </m:e>
          <m:sub>
            <m:r>
              <m:rPr>
                <m:sty m:val="p"/>
              </m:rPr>
              <m:t>*</m:t>
            </m:r>
          </m:sub>
        </m:sSub>
        <m:r>
          <m:rPr>
            <m:sty m:val="p"/>
          </m:rPr>
          <m:t>:</m:t>
        </m:r>
        <m:r>
          <m:rPr>
            <m:sty m:val="p"/>
          </m:rPr>
          <m:t>[</m:t>
        </m:r>
        <m:r>
          <m:t>.12</m:t>
        </m:r>
        <m:r>
          <m:rPr>
            <m:sty m:val="p"/>
          </m:rPr>
          <m:t>,</m:t>
        </m:r>
        <m:r>
          <m:t>.28</m:t>
        </m:r>
        <m:r>
          <m:rPr>
            <m:sty m:val="p"/>
          </m:rPr>
          <m:t>]</m:t>
        </m:r>
      </m:oMath>
      <w:r>
        <w:t xml:space="preserve">. Freeze diagnostic membership, coverage, and the criterion-level claim before requesting the extension rows.</w:t>
      </w:r>
    </w:p>
    <w:p>
      <w:pPr>
        <w:pStyle w:val="BodyText"/>
      </w:pPr>
      <w:r>
        <w:t xml:space="preserve">Submit diagnostic membership, coverage, weighted risk interpretation, criterion/mechanism/measurement claim, status, and a one-sentence scope-qualified conclusion.</w:t>
      </w:r>
    </w:p>
    <w:p>
      <w:pPr>
        <w:pStyle w:val="BodyText"/>
      </w:pPr>
      <w:r>
        <w:rPr>
          <w:b/>
          <w:bCs/>
        </w:rPr>
        <w:t xml:space="preserve">Accessible/digital alternative:</w:t>
      </w:r>
      <w:r>
        <w:t xml:space="preserve"> </w:t>
      </w:r>
      <w:r>
        <w:t xml:space="preserve">use a spreadsheet with a diagnostic-membership formula already entered. Students explain the formula in words and may rely on supplied weighted results if arithmetic is not the learning target.</w:t>
      </w:r>
    </w:p>
    <w:bookmarkEnd w:id="38"/>
    <w:bookmarkEnd w:id="39"/>
    <w:bookmarkStart w:id="42" w:name="Xf153532324000cda5a1671041730f33706a608e"/>
    <w:p>
      <w:pPr>
        <w:pStyle w:val="Heading2"/>
        <w:pageBreakBefore/>
      </w:pPr>
      <w:r>
        <w:t xml:space="preserve">Session 9 Resource. Character-Bridge Break Test</w:t>
      </w:r>
    </w:p>
    <w:bookmarkStart w:id="40" w:name="frozen-bridge-rules"/>
    <w:p>
      <w:pPr>
        <w:pStyle w:val="Heading3"/>
      </w:pPr>
      <w:r>
        <w:t xml:space="preserve">Frozen Bridge Rules</w:t>
      </w:r>
    </w:p>
    <w:p>
      <w:pPr>
        <w:pStyle w:val="FirstParagraph"/>
      </w:pPr>
      <w:r>
        <w:t xml:space="preserve">All data are synthetic. Before character analysis, a licensed empirical gate</w:t>
      </w:r>
      <w:r>
        <w:t xml:space="preserve"> </w:t>
      </w:r>
      <m:oMath>
        <m:acc>
          <m:accPr>
            <m:chr m:val="̂"/>
          </m:accPr>
          <m:e>
            <m:r>
              <m:t>P</m:t>
            </m:r>
          </m:e>
        </m:acc>
        <m:r>
          <m:rPr>
            <m:sty m:val="p"/>
          </m:rPr>
          <m:t>(</m:t>
        </m:r>
        <m:r>
          <m:t>S</m:t>
        </m:r>
        <m:r>
          <m:rPr>
            <m:sty m:val="p"/>
          </m:rPr>
          <m:t>,</m:t>
        </m:r>
        <m:r>
          <m:t>c</m:t>
        </m:r>
        <m:r>
          <m:rPr>
            <m:sty m:val="p"/>
          </m:rPr>
          <m:t>;</m:t>
        </m:r>
        <m:sSub>
          <m:e>
            <m:r>
              <m:rPr>
                <m:sty m:val="p"/>
              </m:rPr>
              <m:t>Θ</m:t>
            </m:r>
          </m:e>
          <m:sub>
            <m:r>
              <m:t>P</m:t>
            </m:r>
          </m:sub>
        </m:sSub>
        <m:r>
          <m:rPr>
            <m:sty m:val="p"/>
          </m:rPr>
          <m:t>)</m:t>
        </m:r>
        <m:r>
          <m:rPr>
            <m:sty m:val="p"/>
          </m:rPr>
          <m:t>=</m:t>
        </m:r>
        <m:r>
          <m:t>1</m:t>
        </m:r>
      </m:oMath>
      <w:r>
        <w:t xml:space="preserve"> </w:t>
      </w:r>
      <w:r>
        <w:t xml:space="preserve">is frozen for every content: the same mapped</w:t>
      </w:r>
      <w:r>
        <w:t xml:space="preserve"> </w:t>
      </w:r>
      <m:oMath>
        <m:sSub>
          <m:e>
            <m:r>
              <m:rPr>
                <m:scr m:val="script"/>
                <m:sty m:val="p"/>
              </m:rPr>
              <m:t>P</m:t>
            </m:r>
          </m:e>
          <m:sub>
            <m:r>
              <m:rPr>
                <m:sty m:val="p"/>
              </m:rPr>
              <m:t>Θ</m:t>
            </m:r>
          </m:sub>
        </m:sSub>
      </m:oMath>
      <w:r>
        <w:t xml:space="preserve"> </w:t>
      </w:r>
      <w:r>
        <w:t xml:space="preserve">referent is used, the inclusion-minimal positive bearer is evidentially resolved under the joint-content rule, and each content belongs to the estimated positive-bearer set. This is an evidence-relative decision, not direct access to ontic membership.</w:t>
      </w:r>
    </w:p>
    <w:p>
      <w:pPr>
        <w:pStyle w:val="BodyText"/>
      </w:pPr>
      <w:r>
        <w:t xml:space="preserve">The bridge is supported only if:</w:t>
      </w:r>
    </w:p>
    <w:p>
      <w:pPr>
        <w:pStyle w:val="Compact"/>
        <w:numPr>
          <w:ilvl w:val="0"/>
          <w:numId w:val="1009"/>
        </w:numPr>
      </w:pPr>
      <w:r>
        <w:t xml:space="preserve">held-out neighborhood rank accuracy is at least</w:t>
      </w:r>
      <w:r>
        <w:t xml:space="preserve"> </w:t>
      </w:r>
      <m:oMath>
        <m:r>
          <m:t>.80</m:t>
        </m:r>
      </m:oMath>
      <w:r>
        <w:t xml:space="preserve">;</w:t>
      </w:r>
    </w:p>
    <w:p>
      <w:pPr>
        <w:pStyle w:val="Compact"/>
        <w:numPr>
          <w:ilvl w:val="0"/>
          <w:numId w:val="1009"/>
        </w:numPr>
      </w:pPr>
      <w:r>
        <w:t xml:space="preserve">it improves on the best nuisance model by at least</w:t>
      </w:r>
      <w:r>
        <w:t xml:space="preserve"> </w:t>
      </w:r>
      <m:oMath>
        <m:r>
          <m:t>.10</m:t>
        </m:r>
      </m:oMath>
      <w:r>
        <w:t xml:space="preserve">;</w:t>
      </w:r>
    </w:p>
    <w:p>
      <w:pPr>
        <w:pStyle w:val="Compact"/>
        <w:numPr>
          <w:ilvl w:val="0"/>
          <w:numId w:val="1009"/>
        </w:numPr>
      </w:pPr>
      <w:r>
        <w:t xml:space="preserve">the preregistered intervention changes the predicted relation in the correct direction; and</w:t>
      </w:r>
    </w:p>
    <w:p>
      <w:pPr>
        <w:pStyle w:val="Compact"/>
        <w:numPr>
          <w:ilvl w:val="0"/>
          <w:numId w:val="1009"/>
        </w:numPr>
      </w:pPr>
      <w:r>
        <w:t xml:space="preserve">observed deformation differs from predicted deformation by no more than</w:t>
      </w:r>
      <w:r>
        <w:t xml:space="preserve"> </w:t>
      </w:r>
      <m:oMath>
        <m:r>
          <m:t>.20</m:t>
        </m:r>
      </m:oMath>
      <w:r>
        <w:t xml:space="preserve"> </w:t>
      </w:r>
      <w:r>
        <w:t xml:space="preserve">distance units.</w:t>
      </w:r>
    </w:p>
    <w:p>
      <w:pPr>
        <w:pStyle w:val="FirstParagraph"/>
      </w:pPr>
      <w:r>
        <w:t xml:space="preserve">Failure of a valid, interval-excluding deformation prediction refutes this bridge in the tested domain. It does not reverse the presence result.</w:t>
      </w:r>
    </w:p>
    <w:bookmarkEnd w:id="40"/>
    <w:bookmarkStart w:id="41" w:name="student-materials-8"/>
    <w:p>
      <w:pPr>
        <w:pStyle w:val="Heading3"/>
      </w:pPr>
      <w:r>
        <w:t xml:space="preserve">Student Materials</w:t>
      </w:r>
    </w:p>
    <w:p>
      <w:pPr>
        <w:pStyle w:val="FirstParagraph"/>
      </w:pPr>
      <w:r>
        <w:t xml:space="preserve">Contents are red (R), orange (O), green (G), and blue (B). Fit is permitted on R, O, and G only. B is held out.</w:t>
      </w:r>
    </w:p>
    <w:p>
      <w:pPr>
        <w:pStyle w:val="BodyText"/>
      </w:pPr>
      <w:r>
        <w:rPr>
          <w:b/>
          <w:bCs/>
        </w:rPr>
        <w:t xml:space="preserve">Synthetic causal distances at baseline:</w:t>
      </w:r>
    </w:p>
    <w:tbl>
      <w:tblPr>
        <w:tblStyle w:val="Table"/>
        <w:tblW w:type="dxa" w:w="7920"/>
        <w:jc w:val="center"/>
        <w:tblLayout w:type="fixed"/>
        <w:tblLook w:firstRow="1" w:lastRow="0" w:firstColumn="0" w:lastColumn="0" w:noHBand="0" w:noVBand="0" w:val="0020"/>
      </w:tblPr>
      <w:tblGrid>
        <w:gridCol w:w="950"/>
        <w:gridCol w:w="1742"/>
        <w:gridCol w:w="1742"/>
        <w:gridCol w:w="1742"/>
        <w:gridCol w:w="1744"/>
      </w:tblGrid>
      <w:tr>
        <w:trPr>
          <w:tblHeader w:val="on"/>
          <w:cantSplit/>
        </w:trPr>
        <w:tc>
          <w:tcPr>
            <w:tcW w:w="950" w:type="dxa"/>
            <w:vAlign w:val="center"/>
            <w:tcMar>
              <w:top w:w="70" w:type="dxa"/>
              <w:bottom w:w="70" w:type="dxa"/>
              <w:start w:w="85" w:type="dxa"/>
              <w:end w:w="85" w:type="dxa"/>
            </w:tcMar>
            <w:shd w:fill="1B344C" w:val="clear"/>
          </w:tcPr>
          <w:p>
            <w:pPr>
              <w:pStyle w:val="Compact"/>
              <w:spacing w:before="0" w:after="40" w:line="240" w:lineRule="auto"/>
              <w:jc w:val="center"/>
            </w:pPr>
          </w:p>
        </w:tc>
        <w:tc>
          <w:tcPr>
            <w:tcW w:w="1742"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R</w:t>
            </w:r>
          </w:p>
        </w:tc>
        <w:tc>
          <w:tcPr>
            <w:tcW w:w="1742"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O</w:t>
            </w:r>
          </w:p>
        </w:tc>
        <w:tc>
          <w:tcPr>
            <w:tcW w:w="1742"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G</w:t>
            </w:r>
          </w:p>
        </w:tc>
        <w:tc>
          <w:tcPr>
            <w:tcW w:w="1744"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B</w:t>
            </w:r>
          </w:p>
        </w:tc>
      </w:tr>
      <w:tr>
        <w:trPr>
          <w:cantSplit/>
        </w:trPr>
        <w:tc>
          <w:tcPr>
            <w:tcW w:w="95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R</w:t>
            </w:r>
          </w:p>
        </w:tc>
        <w:tc>
          <w:tcPr>
            <w:tcW w:w="1742"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0</w:t>
            </w:r>
          </w:p>
        </w:tc>
        <w:tc>
          <w:tcPr>
            <w:tcW w:w="1742"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1742"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3.0</w:t>
            </w:r>
          </w:p>
        </w:tc>
        <w:tc>
          <w:tcPr>
            <w:tcW w:w="1744"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2.6</w:t>
            </w:r>
          </w:p>
        </w:tc>
      </w:tr>
      <w:tr>
        <w:trPr>
          <w:cantSplit/>
        </w:trPr>
        <w:tc>
          <w:tcPr>
            <w:tcW w:w="95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O</w:t>
            </w:r>
          </w:p>
        </w:tc>
        <w:tc>
          <w:tcPr>
            <w:tcW w:w="1742"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1742"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0</w:t>
            </w:r>
          </w:p>
        </w:tc>
        <w:tc>
          <w:tcPr>
            <w:tcW w:w="1742"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2.0</w:t>
            </w:r>
          </w:p>
        </w:tc>
        <w:tc>
          <w:tcPr>
            <w:tcW w:w="1744"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1.6</w:t>
            </w:r>
          </w:p>
        </w:tc>
      </w:tr>
      <w:tr>
        <w:trPr>
          <w:cantSplit/>
        </w:trPr>
        <w:tc>
          <w:tcPr>
            <w:tcW w:w="95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G</w:t>
            </w:r>
          </w:p>
        </w:tc>
        <w:tc>
          <w:tcPr>
            <w:tcW w:w="1742"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3.0</w:t>
            </w:r>
          </w:p>
        </w:tc>
        <w:tc>
          <w:tcPr>
            <w:tcW w:w="1742"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2.0</w:t>
            </w:r>
          </w:p>
        </w:tc>
        <w:tc>
          <w:tcPr>
            <w:tcW w:w="1742"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0</w:t>
            </w:r>
          </w:p>
        </w:tc>
        <w:tc>
          <w:tcPr>
            <w:tcW w:w="1744"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r>
      <w:tr>
        <w:trPr>
          <w:cantSplit/>
        </w:trPr>
        <w:tc>
          <w:tcPr>
            <w:tcW w:w="95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B</w:t>
            </w:r>
          </w:p>
        </w:tc>
        <w:tc>
          <w:tcPr>
            <w:tcW w:w="1742"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2.6</w:t>
            </w:r>
          </w:p>
        </w:tc>
        <w:tc>
          <w:tcPr>
            <w:tcW w:w="1742"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1.6</w:t>
            </w:r>
          </w:p>
        </w:tc>
        <w:tc>
          <w:tcPr>
            <w:tcW w:w="1742"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1744"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0</w:t>
            </w:r>
          </w:p>
        </w:tc>
      </w:tr>
    </w:tbl>
    <w:p>
      <w:pPr>
        <w:pStyle w:val="BodyText"/>
      </w:pPr>
      <w:r>
        <w:t xml:space="preserve">The best stimulus-only nuisance model has held-out rank accuracy</w:t>
      </w:r>
      <w:r>
        <w:t xml:space="preserve"> </w:t>
      </w:r>
      <m:oMath>
        <m:r>
          <m:t>.68</m:t>
        </m:r>
      </m:oMath>
      <w:r>
        <w:t xml:space="preserve">.</w:t>
      </w:r>
    </w:p>
    <w:p>
      <w:pPr>
        <w:pStyle w:val="BodyText"/>
      </w:pPr>
      <w:r>
        <w:t xml:space="preserve">The independent phenomenal-anchor training relations, available only for R, O, and G, are:</w:t>
      </w:r>
    </w:p>
    <w:tbl>
      <w:tblPr>
        <w:tblStyle w:val="Table"/>
        <w:tblW w:type="dxa" w:w="7920"/>
        <w:jc w:val="center"/>
        <w:tblLayout w:type="fixed"/>
        <w:tblLook w:firstRow="1" w:lastRow="0" w:firstColumn="0" w:lastColumn="0" w:noHBand="0" w:noVBand="0" w:val="0020"/>
      </w:tblPr>
      <w:tblGrid>
        <w:gridCol w:w="1267"/>
        <w:gridCol w:w="2218"/>
        <w:gridCol w:w="2218"/>
        <w:gridCol w:w="2217"/>
      </w:tblGrid>
      <w:tr>
        <w:trPr>
          <w:tblHeader w:val="on"/>
          <w:cantSplit/>
        </w:trPr>
        <w:tc>
          <w:tcPr>
            <w:tcW w:w="1267" w:type="dxa"/>
            <w:vAlign w:val="center"/>
            <w:tcMar>
              <w:top w:w="70" w:type="dxa"/>
              <w:bottom w:w="70" w:type="dxa"/>
              <w:start w:w="85" w:type="dxa"/>
              <w:end w:w="85" w:type="dxa"/>
            </w:tcMar>
            <w:shd w:fill="1B344C" w:val="clear"/>
          </w:tcPr>
          <w:p>
            <w:pPr>
              <w:pStyle w:val="Compact"/>
              <w:spacing w:before="0" w:after="40" w:line="240" w:lineRule="auto"/>
              <w:jc w:val="center"/>
            </w:pPr>
          </w:p>
        </w:tc>
        <w:tc>
          <w:tcPr>
            <w:tcW w:w="2218"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R</w:t>
            </w:r>
          </w:p>
        </w:tc>
        <w:tc>
          <w:tcPr>
            <w:tcW w:w="2218"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O</w:t>
            </w:r>
          </w:p>
        </w:tc>
        <w:tc>
          <w:tcPr>
            <w:tcW w:w="2217"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G</w:t>
            </w:r>
          </w:p>
        </w:tc>
      </w:tr>
      <w:tr>
        <w:trPr>
          <w:cantSplit/>
        </w:trPr>
        <w:tc>
          <w:tcPr>
            <w:tcW w:w="1267"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R</w:t>
            </w:r>
          </w:p>
        </w:tc>
        <w:tc>
          <w:tcPr>
            <w:tcW w:w="2218"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0</w:t>
            </w:r>
          </w:p>
        </w:tc>
        <w:tc>
          <w:tcPr>
            <w:tcW w:w="2218"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2217"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3.0</w:t>
            </w:r>
          </w:p>
        </w:tc>
      </w:tr>
      <w:tr>
        <w:trPr>
          <w:cantSplit/>
        </w:trPr>
        <w:tc>
          <w:tcPr>
            <w:tcW w:w="1267"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O</w:t>
            </w:r>
          </w:p>
        </w:tc>
        <w:tc>
          <w:tcPr>
            <w:tcW w:w="2218"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2218"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0</w:t>
            </w:r>
          </w:p>
        </w:tc>
        <w:tc>
          <w:tcPr>
            <w:tcW w:w="2217"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2.0</w:t>
            </w:r>
          </w:p>
        </w:tc>
      </w:tr>
      <w:tr>
        <w:trPr>
          <w:cantSplit/>
        </w:trPr>
        <w:tc>
          <w:tcPr>
            <w:tcW w:w="1267"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G</w:t>
            </w:r>
          </w:p>
        </w:tc>
        <w:tc>
          <w:tcPr>
            <w:tcW w:w="2218"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3.0</w:t>
            </w:r>
          </w:p>
        </w:tc>
        <w:tc>
          <w:tcPr>
            <w:tcW w:w="2218"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2.0</w:t>
            </w:r>
          </w:p>
        </w:tc>
        <w:tc>
          <w:tcPr>
            <w:tcW w:w="2217"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0</w:t>
            </w:r>
          </w:p>
        </w:tc>
      </w:tr>
    </w:tbl>
    <w:p>
      <w:pPr>
        <w:pStyle w:val="BodyText"/>
      </w:pPr>
      <w:r>
        <w:t xml:space="preserve">A separate report-trained decoder gives B-to-R, B-to-O, and B-to-G distances of 2.0, 1.2, and .8. It was trained on response labels collected in the same task and may be used only as a dependence-control comparison, not as an independent phenomenal anchor.</w:t>
      </w:r>
    </w:p>
    <w:p>
      <w:pPr>
        <w:pStyle w:val="BodyText"/>
      </w:pPr>
      <w:r>
        <w:rPr>
          <w:b/>
          <w:bCs/>
        </w:rPr>
        <w:t xml:space="preserve">Core.</w:t>
      </w:r>
      <w:r>
        <w:t xml:space="preserve"> </w:t>
      </w:r>
      <w:r>
        <w:t xml:space="preserve">Assign Variant A or B privately. Freeze each team’s bridge verdict before the variants are compared.</w:t>
      </w:r>
    </w:p>
    <w:p>
      <w:pPr>
        <w:pStyle w:val="BodyText"/>
      </w:pPr>
      <w:r>
        <w:t xml:space="preserve">Submit the frozen presence status, causal-geometry source, independent anchor source, nuisance comparison, training / held-out split, deformation prediction, bridge outcome, and what remains intact if the bridge fails. Add the surviving-symmetry analysis only when the symmetry extension is assigned.</w:t>
      </w:r>
    </w:p>
    <w:p>
      <w:pPr>
        <w:pStyle w:val="BodyText"/>
      </w:pPr>
      <w:r>
        <w:rPr>
          <w:b/>
          <w:bCs/>
        </w:rPr>
        <w:t xml:space="preserve">Accessible/digital alternative:</w:t>
      </w:r>
      <w:r>
        <w:t xml:space="preserve"> </w:t>
      </w:r>
      <w:r>
        <w:t xml:space="preserve">supply matrices as row-wise CSV text and a verbal neighborhood list. No colored embedding is required.</w:t>
      </w:r>
    </w:p>
    <w:bookmarkEnd w:id="41"/>
    <w:bookmarkEnd w:id="42"/>
    <w:bookmarkStart w:id="45" w:name="X2a45277d03c160d720c7d5078a94791cc4b2411"/>
    <w:p>
      <w:pPr>
        <w:pStyle w:val="Heading2"/>
        <w:pageBreakBefore/>
      </w:pPr>
      <w:r>
        <w:t xml:space="preserve">Session 10 Resource. Blind Schematic Readout</w:t>
      </w:r>
    </w:p>
    <w:bookmarkStart w:id="43" w:name="component-law-sheet"/>
    <w:p>
      <w:pPr>
        <w:pStyle w:val="Heading3"/>
      </w:pPr>
      <w:r>
        <w:t xml:space="preserve">Component-Law Sheet</w:t>
      </w:r>
    </w:p>
    <w:p>
      <w:pPr>
        <w:pStyle w:val="FirstParagraph"/>
        <w:spacing w:line="245" w:lineRule="auto" w:after="70"/>
      </w:pPr>
      <w:r>
        <w:t xml:space="preserve">All profiles are synthetic. Use Session 2 thresholds and the following role translations. Any unbracketed scalar is stipulated to be an exact teaching value for this exercise and is compared directly with its threshold; real studies require uncertainty intervals.</w:t>
      </w:r>
    </w:p>
    <w:p>
      <w:pPr>
        <w:pStyle w:val="Compact"/>
        <w:numPr>
          <w:ilvl w:val="0"/>
          <w:numId w:val="1010"/>
        </w:numPr>
        <w:spacing w:line="245" w:lineRule="auto" w:after="70"/>
      </w:pPr>
      <w:r>
        <w:t xml:space="preserve">stable</w:t>
      </w:r>
      <w:r>
        <w:t xml:space="preserve"> </w:t>
      </w:r>
      <m:oMath>
        <m:sSub>
          <m:e>
            <m:r>
              <m:rPr>
                <m:scr m:val="script"/>
                <m:sty m:val="p"/>
              </m:rPr>
              <m:t>P</m:t>
            </m:r>
          </m:e>
          <m:sub>
            <m:r>
              <m:rPr>
                <m:sty m:val="p"/>
              </m:rPr>
              <m:t>Θ</m:t>
            </m:r>
          </m:sub>
        </m:sSub>
      </m:oMath>
      <w:r>
        <w:t xml:space="preserve"> </w:t>
      </w:r>
      <w:r>
        <w:t xml:space="preserve">membership -&gt; licensed profile-test referent;</w:t>
      </w:r>
    </w:p>
    <w:p>
      <w:pPr>
        <w:pStyle w:val="Compact"/>
        <w:numPr>
          <w:ilvl w:val="0"/>
          <w:numId w:val="1010"/>
        </w:numPr>
        <w:spacing w:line="245" w:lineRule="auto" w:after="70"/>
      </w:pPr>
      <w:r>
        <w:t xml:space="preserve">resolved inclusion-minimal</w:t>
      </w:r>
      <w:r>
        <w:t xml:space="preserve"> </w:t>
      </w:r>
      <m:oMath>
        <m:sSup>
          <m:e>
            <m:r>
              <m:rPr>
                <m:scr m:val="script"/>
                <m:sty m:val="p"/>
              </m:rPr>
              <m:t>B</m:t>
            </m:r>
          </m:e>
          <m:sup>
            <m:r>
              <m:rPr>
                <m:sty m:val="p"/>
              </m:rPr>
              <m:t>+</m:t>
            </m:r>
          </m:sup>
        </m:sSup>
      </m:oMath>
      <w:r>
        <w:t xml:space="preserve"> </w:t>
      </w:r>
      <w:r>
        <w:t xml:space="preserve">membership -&gt; positive subject bearer;</w:t>
      </w:r>
    </w:p>
    <w:p>
      <w:pPr>
        <w:pStyle w:val="Compact"/>
        <w:numPr>
          <w:ilvl w:val="0"/>
          <w:numId w:val="1010"/>
        </w:numPr>
        <w:spacing w:line="245" w:lineRule="auto" w:after="70"/>
      </w:pPr>
      <w:r>
        <w:t xml:space="preserve">positive</w:t>
      </w:r>
      <w:r>
        <w:t xml:space="preserve"> </w:t>
      </w:r>
      <m:oMath>
        <m:r>
          <m:t>V</m:t>
        </m:r>
      </m:oMath>
      <w:r>
        <w:t xml:space="preserve"> </w:t>
      </w:r>
      <w:r>
        <w:t xml:space="preserve">-&gt; realized operation;</w:t>
      </w:r>
    </w:p>
    <w:p>
      <w:pPr>
        <w:pStyle w:val="Compact"/>
        <w:numPr>
          <w:ilvl w:val="0"/>
          <w:numId w:val="1010"/>
        </w:numPr>
        <w:spacing w:line="245" w:lineRule="auto" w:after="70"/>
      </w:pPr>
      <w:r>
        <w:t xml:space="preserve">positive</w:t>
      </w:r>
      <w:r>
        <w:t xml:space="preserve"> </w:t>
      </w:r>
      <m:oMath>
        <m:sSub>
          <m:e>
            <m:r>
              <m:t>N</m:t>
            </m:r>
          </m:e>
          <m:sub>
            <m:r>
              <m:t>1</m:t>
            </m:r>
          </m:sub>
        </m:sSub>
      </m:oMath>
      <w:r>
        <w:t xml:space="preserve"> </w:t>
      </w:r>
      <w:r>
        <w:t xml:space="preserve">-&gt; unity;</w:t>
      </w:r>
    </w:p>
    <w:p>
      <w:pPr>
        <w:pStyle w:val="Compact"/>
        <w:numPr>
          <w:ilvl w:val="0"/>
          <w:numId w:val="1010"/>
        </w:numPr>
        <w:spacing w:line="245" w:lineRule="auto" w:after="70"/>
      </w:pPr>
      <w:r>
        <w:t xml:space="preserve">positive</w:t>
      </w:r>
      <w:r>
        <w:t xml:space="preserve"> </w:t>
      </w:r>
      <m:oMath>
        <m:sSub>
          <m:e>
            <m:r>
              <m:t>N</m:t>
            </m:r>
          </m:e>
          <m:sub>
            <m:r>
              <m:t>2</m:t>
            </m:r>
          </m:sub>
        </m:sSub>
      </m:oMath>
      <w:r>
        <w:t xml:space="preserve"> </w:t>
      </w:r>
      <w:r>
        <w:t xml:space="preserve">-&gt; system-level causal presence;</w:t>
      </w:r>
    </w:p>
    <w:p>
      <w:pPr>
        <w:pStyle w:val="Compact"/>
        <w:numPr>
          <w:ilvl w:val="0"/>
          <w:numId w:val="1010"/>
        </w:numPr>
        <w:spacing w:line="245" w:lineRule="auto" w:after="70"/>
      </w:pPr>
      <w:r>
        <w:t xml:space="preserve">positive</w:t>
      </w:r>
      <w:r>
        <w:t xml:space="preserve"> </w:t>
      </w:r>
      <m:oMath>
        <m:sSub>
          <m:e>
            <m:r>
              <m:t>N</m:t>
            </m:r>
          </m:e>
          <m:sub>
            <m:r>
              <m:t>3</m:t>
            </m:r>
          </m:sub>
        </m:sSub>
      </m:oMath>
      <w:r>
        <w:t xml:space="preserve"> </w:t>
      </w:r>
      <w:r>
        <w:t xml:space="preserve">-&gt; bounded temporal presence.</w:t>
      </w:r>
    </w:p>
    <w:p>
      <w:pPr>
        <w:pStyle w:val="FirstParagraph"/>
        <w:spacing w:line="245" w:lineRule="auto" w:after="70"/>
      </w:pPr>
      <w:r>
        <w:t xml:space="preserve">Legibility requires stable decomposable semantics (D), compositional readout (C), differentiated fault localization (F), and evidential independence (E). A readable result does not validate the constitutive identity.</w:t>
      </w:r>
    </w:p>
    <w:bookmarkEnd w:id="43"/>
    <w:bookmarkStart w:id="44" w:name="student-materials-9"/>
    <w:p>
      <w:pPr>
        <w:pStyle w:val="Heading3"/>
      </w:pPr>
      <w:r>
        <w:t xml:space="preserve">Student Materials</w:t>
      </w:r>
    </w:p>
    <w:p>
      <w:pPr>
        <w:pStyle w:val="FirstParagraph"/>
        <w:spacing w:line="245" w:lineRule="auto" w:after="70"/>
      </w:pPr>
      <w:r>
        <w:t xml:space="preserve">Use this common directed schematic for every case.</w:t>
      </w:r>
      <w:r>
        <w:t xml:space="preserve"> </w:t>
      </w:r>
      <w:r>
        <w:rPr>
          <w:rStyle w:val="VerbatimChar"/>
        </w:rPr>
        <w:t xml:space="preserve">P-candidate facts -&gt; Referent license</w:t>
      </w:r>
      <w:r>
        <w:t xml:space="preserve">;</w:t>
      </w:r>
      <w:r>
        <w:t xml:space="preserve"> </w:t>
      </w:r>
      <w:r>
        <w:rPr>
          <w:rStyle w:val="VerbatimChar"/>
        </w:rPr>
        <w:t xml:space="preserve">V -&gt; Profile</w:t>
      </w:r>
      <w:r>
        <w:t xml:space="preserve">;</w:t>
      </w:r>
      <w:r>
        <w:t xml:space="preserve"> </w:t>
      </w:r>
      <w:r>
        <w:rPr>
          <w:rStyle w:val="VerbatimChar"/>
        </w:rPr>
        <w:t xml:space="preserve">N1 -&gt; Profile</w:t>
      </w:r>
      <w:r>
        <w:t xml:space="preserve">;</w:t>
      </w:r>
      <w:r>
        <w:t xml:space="preserve"> </w:t>
      </w:r>
      <w:r>
        <w:rPr>
          <w:rStyle w:val="VerbatimChar"/>
        </w:rPr>
        <w:t xml:space="preserve">N2 -&gt; Profile</w:t>
      </w:r>
      <w:r>
        <w:t xml:space="preserve">;</w:t>
      </w:r>
      <w:r>
        <w:t xml:space="preserve"> </w:t>
      </w:r>
      <w:r>
        <w:rPr>
          <w:rStyle w:val="VerbatimChar"/>
        </w:rPr>
        <w:t xml:space="preserve">N3 -&gt; Profile</w:t>
      </w:r>
      <w:r>
        <w:t xml:space="preserve">;</w:t>
      </w:r>
      <w:r>
        <w:t xml:space="preserve"> </w:t>
      </w:r>
      <w:r>
        <w:rPr>
          <w:rStyle w:val="VerbatimChar"/>
        </w:rPr>
        <w:t xml:space="preserve">Profile + candidate lattice -&gt; Minimal all-pass set</w:t>
      </w:r>
      <w:r>
        <w:t xml:space="preserve">;</w:t>
      </w:r>
      <w:r>
        <w:t xml:space="preserve"> </w:t>
      </w:r>
      <w:r>
        <w:rPr>
          <w:rStyle w:val="VerbatimChar"/>
        </w:rPr>
        <w:t xml:space="preserve">Resolved minimal set -&gt; Model prediction</w:t>
      </w:r>
      <w:r>
        <w:t xml:space="preserve">; and</w:t>
      </w:r>
      <w:r>
        <w:t xml:space="preserve"> </w:t>
      </w:r>
      <w:r>
        <w:rPr>
          <w:rStyle w:val="VerbatimChar"/>
        </w:rPr>
        <w:t xml:space="preserve">Independent anchors -&gt; Validation comparison</w:t>
      </w:r>
      <w:r>
        <w:t xml:space="preserve">. A component value fills a node; the arrows encode the frozen compositional law. The schematic is a readout representation, not the physical realization.</w:t>
      </w:r>
    </w:p>
    <w:p>
      <w:pPr>
        <w:pStyle w:val="BodyText"/>
        <w:spacing w:line="245" w:lineRule="auto" w:after="70"/>
      </w:pPr>
      <w:r>
        <w:rPr>
          <w:b/>
          <w:bCs/>
        </w:rPr>
        <w:t xml:space="preserve">Training Case T1:</w:t>
      </w:r>
      <w:r>
        <w:t xml:space="preserve"> </w:t>
      </w:r>
      <w:r>
        <w:t xml:space="preserve">stable</w:t>
      </w:r>
      <w:r>
        <w:t xml:space="preserve"> </w:t>
      </w:r>
      <m:oMath>
        <m:sSub>
          <m:e>
            <m:r>
              <m:rPr>
                <m:scr m:val="script"/>
                <m:sty m:val="p"/>
              </m:rPr>
              <m:t>P</m:t>
            </m:r>
          </m:e>
          <m:sub>
            <m:r>
              <m:rPr>
                <m:sty m:val="p"/>
              </m:rPr>
              <m:t>Θ</m:t>
            </m:r>
          </m:sub>
        </m:sSub>
      </m:oMath>
      <w:r>
        <w:t xml:space="preserve"> </w:t>
      </w:r>
      <w:r>
        <w:t xml:space="preserve">referent;</w:t>
      </w:r>
      <w:r>
        <w:t xml:space="preserve"> </w:t>
      </w:r>
      <m:oMath>
        <m:r>
          <m:t>V</m:t>
        </m:r>
        <m:r>
          <m:rPr>
            <m:sty m:val="p"/>
          </m:rPr>
          <m:t>,</m:t>
        </m:r>
        <m:sSub>
          <m:e>
            <m:r>
              <m:t>N</m:t>
            </m:r>
          </m:e>
          <m:sub>
            <m:r>
              <m:t>1</m:t>
            </m:r>
          </m:sub>
        </m:sSub>
        <m:r>
          <m:rPr>
            <m:sty m:val="p"/>
          </m:rPr>
          <m:t>,</m:t>
        </m:r>
        <m:sSub>
          <m:e>
            <m:r>
              <m:t>N</m:t>
            </m:r>
          </m:e>
          <m:sub>
            <m:r>
              <m:t>2</m:t>
            </m:r>
          </m:sub>
        </m:sSub>
        <m:r>
          <m:rPr>
            <m:sty m:val="p"/>
          </m:rPr>
          <m:t>,</m:t>
        </m:r>
        <m:sSub>
          <m:e>
            <m:r>
              <m:t>N</m:t>
            </m:r>
          </m:e>
          <m:sub>
            <m:r>
              <m:t>3</m:t>
            </m:r>
          </m:sub>
        </m:sSub>
      </m:oMath>
      <w:r>
        <w:t xml:space="preserve"> </w:t>
      </w:r>
      <w:r>
        <w:t xml:space="preserve">positive; no all-pass proper subsystem; the minimal bearer is resolved; independent anchors are held out. Expected readout: referent, operation, unity, system-level causal presence, and temporal presence are role-complete; the bearer rule issues a positive prediction, while the identity remains a hypothesis.</w:t>
      </w:r>
    </w:p>
    <w:p>
      <w:pPr>
        <w:pStyle w:val="BodyText"/>
        <w:spacing w:line="245" w:lineRule="auto" w:after="70"/>
      </w:pPr>
      <w:r>
        <w:rPr>
          <w:b/>
          <w:bCs/>
        </w:rPr>
        <w:t xml:space="preserve">Training Case T2:</w:t>
      </w:r>
      <w:r>
        <w:t xml:space="preserve"> </w:t>
      </w:r>
      <w:r>
        <w:t xml:space="preserve">stable</w:t>
      </w:r>
      <w:r>
        <w:t xml:space="preserve"> </w:t>
      </w:r>
      <m:oMath>
        <m:sSub>
          <m:e>
            <m:r>
              <m:rPr>
                <m:scr m:val="script"/>
                <m:sty m:val="p"/>
              </m:rPr>
              <m:t>P</m:t>
            </m:r>
          </m:e>
          <m:sub>
            <m:r>
              <m:rPr>
                <m:sty m:val="p"/>
              </m:rPr>
              <m:t>Θ</m:t>
            </m:r>
          </m:sub>
        </m:sSub>
      </m:oMath>
      <w:r>
        <w:t xml:space="preserve"> </w:t>
      </w:r>
      <w:r>
        <w:t xml:space="preserve">referent;</w:t>
      </w:r>
      <w:r>
        <w:t xml:space="preserve"> </w:t>
      </w:r>
      <m:oMath>
        <m:r>
          <m:t>V</m:t>
        </m:r>
        <m:r>
          <m:rPr>
            <m:sty m:val="p"/>
          </m:rPr>
          <m:t>,</m:t>
        </m:r>
        <m:sSub>
          <m:e>
            <m:r>
              <m:t>N</m:t>
            </m:r>
          </m:e>
          <m:sub>
            <m:r>
              <m:t>1</m:t>
            </m:r>
          </m:sub>
        </m:sSub>
        <m:r>
          <m:rPr>
            <m:sty m:val="p"/>
          </m:rPr>
          <m:t>,</m:t>
        </m:r>
        <m:sSub>
          <m:e>
            <m:r>
              <m:t>N</m:t>
            </m:r>
          </m:e>
          <m:sub>
            <m:r>
              <m:t>3</m:t>
            </m:r>
          </m:sub>
        </m:sSub>
      </m:oMath>
      <w:r>
        <w:t xml:space="preserve"> </w:t>
      </w:r>
      <w:r>
        <w:t xml:space="preserve">positive;</w:t>
      </w:r>
      <w:r>
        <w:t xml:space="preserve"> </w:t>
      </w:r>
      <m:oMath>
        <m:sSub>
          <m:e>
            <m:r>
              <m:t>N</m:t>
            </m:r>
          </m:e>
          <m:sub>
            <m:r>
              <m:t>2</m:t>
            </m:r>
          </m:sub>
        </m:sSub>
      </m:oMath>
      <w:r>
        <w:t xml:space="preserve"> </w:t>
      </w:r>
      <w:r>
        <w:t xml:space="preserve">negative under a licensed route test. Expected readout: the system-level causal-presence role is the localized profile fault; the model issues a negative prediction for the specified referent, content, and interval, and the positive-bearer set must be recomputed.</w:t>
      </w:r>
    </w:p>
    <w:p>
      <w:pPr>
        <w:pStyle w:val="BodyText"/>
        <w:spacing w:line="245" w:lineRule="auto" w:after="70"/>
      </w:pPr>
      <w:r>
        <w:t xml:space="preserve">After studying T1 and T2, Readers A and B independently classify previously unseen Profiles A-D from private reveal cards before comparing.</w:t>
      </w:r>
      <w:r>
        <w:t xml:space="preserve"> </w:t>
      </w:r>
      <w:r>
        <w:rPr>
          <w:b/>
          <w:bCs/>
        </w:rPr>
        <w:t xml:space="preserve">Extension.</w:t>
      </w:r>
      <w:r>
        <w:t xml:space="preserve"> </w:t>
      </w:r>
      <w:r>
        <w:t xml:space="preserve">Add Profile E only after the core forms are locked, then calculate agreement by exact outcome and by fault family.</w:t>
      </w:r>
    </w:p>
    <w:p>
      <w:pPr>
        <w:pStyle w:val="BodyText"/>
        <w:spacing w:line="245" w:lineRule="auto" w:after="70"/>
      </w:pPr>
      <w:r>
        <w:t xml:space="preserve">For each profile record only: operational outcome; role vector; localized fault if licensed; and the step that depends on the constitutive hypothesis. After both readers finish every assigned profile, complete the following</w:t>
      </w:r>
      <w:r>
        <w:t xml:space="preserve"> </w:t>
      </w:r>
      <w:r>
        <w:rPr>
          <w:b/>
          <w:bCs/>
        </w:rPr>
        <w:t xml:space="preserve">one audit matrix for the readout trial as a whole</w:t>
      </w:r>
      <w:r>
        <w:t xml:space="preserve">. Use pass, limited, fail, or not tested and cite at least one profile as evidence.</w:t>
      </w:r>
    </w:p>
    <w:tbl>
      <w:tblPr>
        <w:tblStyle w:val="Table"/>
        <w:tblW w:type="dxa" w:w="9994"/>
        <w:jc w:val="center"/>
        <w:tblLayout w:type="fixed"/>
        <w:tblLook w:firstRow="1" w:lastRow="0" w:firstColumn="0" w:lastColumn="0" w:noHBand="0" w:noVBand="0" w:val="0020"/>
      </w:tblPr>
      <w:tblGrid>
        <w:gridCol w:w="3598"/>
        <w:gridCol w:w="1399"/>
        <w:gridCol w:w="4997"/>
      </w:tblGrid>
      <w:tr>
        <w:trPr>
          <w:tblHeader w:val="on"/>
          <w:cantSplit/>
        </w:trPr>
        <w:tc>
          <w:tcPr>
            <w:tcW w:w="3598"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Trial-level legibility property</w:t>
            </w:r>
          </w:p>
        </w:tc>
        <w:tc>
          <w:tcPr>
            <w:tcW w:w="1399"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Decision</w:t>
            </w:r>
          </w:p>
        </w:tc>
        <w:tc>
          <w:tcPr>
            <w:tcW w:w="4997"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Evidence from the blind trial</w:t>
            </w:r>
          </w:p>
        </w:tc>
      </w:tr>
      <w:tr>
        <w:trPr>
          <w:cantSplit/>
        </w:trPr>
        <w:tc>
          <w:tcPr>
            <w:tcW w:w="35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D: decomposable semantics stayed stable across profiles</w:t>
            </w:r>
          </w:p>
        </w:tc>
        <w:tc>
          <w:tcPr>
            <w:tcW w:w="1399" w:type="dxa"/>
            <w:vAlign w:val="center"/>
            <w:tcMar>
              <w:top w:w="70" w:type="dxa"/>
              <w:bottom w:w="70" w:type="dxa"/>
              <w:start w:w="85" w:type="dxa"/>
              <w:end w:w="85" w:type="dxa"/>
            </w:tcMar>
            <w:shd w:fill="FFFFFF" w:val="clear"/>
          </w:tcPr>
          <w:p>
            <w:pPr>
              <w:pStyle w:val="Compact"/>
              <w:spacing w:before="0" w:after="40" w:line="240" w:lineRule="auto"/>
              <w:jc w:val="center"/>
            </w:pPr>
          </w:p>
        </w:tc>
        <w:tc>
          <w:tcPr>
            <w:tcW w:w="4997" w:type="dxa"/>
            <w:vAlign w:val="center"/>
            <w:tcMar>
              <w:top w:w="70" w:type="dxa"/>
              <w:bottom w:w="70" w:type="dxa"/>
              <w:start w:w="85" w:type="dxa"/>
              <w:end w:w="85" w:type="dxa"/>
            </w:tcMar>
            <w:shd w:fill="FFFFFF" w:val="clear"/>
          </w:tcPr>
          <w:p>
            <w:pPr>
              <w:pStyle w:val="Compact"/>
              <w:spacing w:before="0" w:after="40" w:line="240" w:lineRule="auto"/>
            </w:pPr>
          </w:p>
        </w:tc>
      </w:tr>
      <w:tr>
        <w:trPr>
          <w:cantSplit/>
        </w:trPr>
        <w:tc>
          <w:tcPr>
            <w:tcW w:w="35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C: the frozen compositional law generated the whole-profile outputs</w:t>
            </w:r>
          </w:p>
        </w:tc>
        <w:tc>
          <w:tcPr>
            <w:tcW w:w="1399" w:type="dxa"/>
            <w:vAlign w:val="center"/>
            <w:tcMar>
              <w:top w:w="70" w:type="dxa"/>
              <w:bottom w:w="70" w:type="dxa"/>
              <w:start w:w="85" w:type="dxa"/>
              <w:end w:w="85" w:type="dxa"/>
            </w:tcMar>
            <w:shd w:fill="F4F6F7" w:val="clear"/>
          </w:tcPr>
          <w:p>
            <w:pPr>
              <w:pStyle w:val="Compact"/>
              <w:spacing w:before="0" w:after="40" w:line="240" w:lineRule="auto"/>
              <w:jc w:val="center"/>
            </w:pPr>
          </w:p>
        </w:tc>
        <w:tc>
          <w:tcPr>
            <w:tcW w:w="4997" w:type="dxa"/>
            <w:vAlign w:val="center"/>
            <w:tcMar>
              <w:top w:w="70" w:type="dxa"/>
              <w:bottom w:w="70" w:type="dxa"/>
              <w:start w:w="85" w:type="dxa"/>
              <w:end w:w="85" w:type="dxa"/>
            </w:tcMar>
            <w:shd w:fill="F4F6F7" w:val="clear"/>
          </w:tcPr>
          <w:p>
            <w:pPr>
              <w:pStyle w:val="Compact"/>
              <w:spacing w:before="0" w:after="40" w:line="240" w:lineRule="auto"/>
            </w:pPr>
          </w:p>
        </w:tc>
      </w:tr>
      <w:tr>
        <w:trPr>
          <w:cantSplit/>
        </w:trPr>
        <w:tc>
          <w:tcPr>
            <w:tcW w:w="35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F: different licensed faults yielded differentiated readouts or interventions</w:t>
            </w:r>
          </w:p>
        </w:tc>
        <w:tc>
          <w:tcPr>
            <w:tcW w:w="1399" w:type="dxa"/>
            <w:vAlign w:val="center"/>
            <w:tcMar>
              <w:top w:w="70" w:type="dxa"/>
              <w:bottom w:w="70" w:type="dxa"/>
              <w:start w:w="85" w:type="dxa"/>
              <w:end w:w="85" w:type="dxa"/>
            </w:tcMar>
            <w:shd w:fill="FFFFFF" w:val="clear"/>
          </w:tcPr>
          <w:p>
            <w:pPr>
              <w:pStyle w:val="Compact"/>
              <w:spacing w:before="0" w:after="40" w:line="240" w:lineRule="auto"/>
              <w:jc w:val="center"/>
            </w:pPr>
          </w:p>
        </w:tc>
        <w:tc>
          <w:tcPr>
            <w:tcW w:w="4997" w:type="dxa"/>
            <w:vAlign w:val="center"/>
            <w:tcMar>
              <w:top w:w="70" w:type="dxa"/>
              <w:bottom w:w="70" w:type="dxa"/>
              <w:start w:w="85" w:type="dxa"/>
              <w:end w:w="85" w:type="dxa"/>
            </w:tcMar>
            <w:shd w:fill="FFFFFF" w:val="clear"/>
          </w:tcPr>
          <w:p>
            <w:pPr>
              <w:pStyle w:val="Compact"/>
              <w:spacing w:before="0" w:after="40" w:line="240" w:lineRule="auto"/>
            </w:pPr>
          </w:p>
        </w:tc>
      </w:tr>
      <w:tr>
        <w:trPr>
          <w:cantSplit/>
        </w:trPr>
        <w:tc>
          <w:tcPr>
            <w:tcW w:w="35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E: each supplied validation stream was independent of the component rule</w:t>
            </w:r>
          </w:p>
        </w:tc>
        <w:tc>
          <w:tcPr>
            <w:tcW w:w="1399" w:type="dxa"/>
            <w:vAlign w:val="center"/>
            <w:tcMar>
              <w:top w:w="70" w:type="dxa"/>
              <w:bottom w:w="70" w:type="dxa"/>
              <w:start w:w="85" w:type="dxa"/>
              <w:end w:w="85" w:type="dxa"/>
            </w:tcMar>
            <w:shd w:fill="F4F6F7" w:val="clear"/>
          </w:tcPr>
          <w:p>
            <w:pPr>
              <w:pStyle w:val="Compact"/>
              <w:spacing w:before="0" w:after="40" w:line="240" w:lineRule="auto"/>
              <w:jc w:val="center"/>
            </w:pPr>
          </w:p>
        </w:tc>
        <w:tc>
          <w:tcPr>
            <w:tcW w:w="4997" w:type="dxa"/>
            <w:vAlign w:val="center"/>
            <w:tcMar>
              <w:top w:w="70" w:type="dxa"/>
              <w:bottom w:w="70" w:type="dxa"/>
              <w:start w:w="85" w:type="dxa"/>
              <w:end w:w="85" w:type="dxa"/>
            </w:tcMar>
            <w:shd w:fill="F4F6F7" w:val="clear"/>
          </w:tcPr>
          <w:p>
            <w:pPr>
              <w:pStyle w:val="Compact"/>
              <w:spacing w:before="0" w:after="40" w:line="240" w:lineRule="auto"/>
            </w:pPr>
          </w:p>
        </w:tc>
      </w:tr>
    </w:tbl>
    <w:p>
      <w:pPr>
        <w:pStyle w:val="BodyText"/>
        <w:spacing w:line="245" w:lineRule="auto" w:after="70"/>
      </w:pPr>
      <w:r>
        <w:rPr>
          <w:b/>
          <w:bCs/>
        </w:rPr>
        <w:t xml:space="preserve">Accessible/digital alternative:</w:t>
      </w:r>
      <w:r>
        <w:t xml:space="preserve"> </w:t>
      </w:r>
      <w:r>
        <w:t xml:space="preserve">use the common directed edge list and linear text profile as the schematic. Blind readers complete separate forms in private document sections; the adjudicator receives both only after submission.</w:t>
      </w:r>
    </w:p>
    <w:bookmarkEnd w:id="44"/>
    <w:bookmarkEnd w:id="45"/>
    <w:bookmarkStart w:id="48" w:name="X8b7f4e84c72015ae5cb7835a04e96935676c568"/>
    <w:p>
      <w:pPr>
        <w:pStyle w:val="Heading2"/>
        <w:pageBreakBefore/>
      </w:pPr>
      <w:r>
        <w:t xml:space="preserve">Session 11 Resource. Evolving Clinical Case Conference</w:t>
      </w:r>
    </w:p>
    <w:bookmarkStart w:id="46" w:name="student-materials-10"/>
    <w:p>
      <w:pPr>
        <w:pStyle w:val="Heading3"/>
      </w:pPr>
      <w:r>
        <w:t xml:space="preserve">Student Materials</w:t>
      </w:r>
    </w:p>
    <w:p>
      <w:pPr>
        <w:pStyle w:val="FirstParagraph"/>
      </w:pPr>
      <w:r>
        <w:rPr>
          <w:b/>
          <w:bCs/>
        </w:rPr>
        <w:t xml:space="preserve">Core.</w:t>
      </w:r>
      <w:r>
        <w:t xml:space="preserve"> </w:t>
      </w:r>
      <w:r>
        <w:t xml:space="preserve">This self-contained synthetic dossier is not clinical advice. Keep three targets separate: wakefulness in the observed bedside window, covert command following in the high-arousal imagery trial, and full</w:t>
      </w:r>
      <w:r>
        <w:t xml:space="preserve"> </w:t>
      </w:r>
      <m:oMath>
        <m:sSub>
          <m:e>
            <m:r>
              <m:t>C</m:t>
            </m:r>
          </m:e>
          <m:sub>
            <m:r>
              <m:t>0</m:t>
            </m:r>
          </m:sub>
        </m:sSub>
      </m:oMath>
      <w:r>
        <w:t xml:space="preserve"> </w:t>
      </w:r>
      <w:r>
        <w:t xml:space="preserve">for the specified command-related content. Wakefulness is a regime target here, not a synonym for</w:t>
      </w:r>
      <w:r>
        <w:t xml:space="preserve"> </w:t>
      </w:r>
      <m:oMath>
        <m:sSub>
          <m:e>
            <m:r>
              <m:t>C</m:t>
            </m:r>
          </m:e>
          <m:sub>
            <m:r>
              <m:t>0</m:t>
            </m:r>
          </m:sub>
        </m:sSub>
      </m:oMath>
      <w:r>
        <w:t xml:space="preserve">. After each controlled release, complete one target-specific row for every assessable target and request exactly one next measurement.</w:t>
      </w:r>
    </w:p>
    <w:p>
      <w:pPr>
        <w:pStyle w:val="BodyText"/>
      </w:pPr>
      <w:r>
        <w:rPr>
          <w:b/>
          <w:bCs/>
        </w:rPr>
        <w:t xml:space="preserve">Compact disposition form:</w:t>
      </w:r>
      <w:r>
        <w:t xml:space="preserve"> </w:t>
      </w:r>
      <w:r>
        <w:t xml:space="preserve">release stage; target and time window; candidate and regime; applicability; evidence summary; workflow state or scientific outcome; cause emphasis; strongest permitted conclusion; forbidden broader inference; one next measurement; and, only after action information is released, a separate recommendation with loss assumptions.</w:t>
      </w:r>
    </w:p>
    <w:p>
      <w:pPr>
        <w:pStyle w:val="BodyText"/>
      </w:pPr>
      <w:r>
        <w:t xml:space="preserve">Use these frozen rules:</w:t>
      </w:r>
    </w:p>
    <w:p>
      <w:pPr>
        <w:pStyle w:val="Compact"/>
        <w:numPr>
          <w:ilvl w:val="0"/>
          <w:numId w:val="1011"/>
        </w:numPr>
      </w:pPr>
      <w:r>
        <w:t xml:space="preserve">For this teaching dossier, wakefulness is positive when sustained eye opening and sleep-wake cycling are observed in the declared bedside window; those facts are stipulated to meet the rule. This says nothing by itself about</w:t>
      </w:r>
      <w:r>
        <w:t xml:space="preserve"> </w:t>
      </w:r>
      <m:oMath>
        <m:sSub>
          <m:e>
            <m:r>
              <m:t>C</m:t>
            </m:r>
          </m:e>
          <m:sub>
            <m:r>
              <m:t>0</m:t>
            </m:r>
          </m:sub>
        </m:sSub>
      </m:oMath>
      <w:r>
        <w:t xml:space="preserve">.</w:t>
      </w:r>
    </w:p>
    <w:p>
      <w:pPr>
        <w:pStyle w:val="Compact"/>
        <w:numPr>
          <w:ilvl w:val="0"/>
          <w:numId w:val="1011"/>
        </w:numPr>
      </w:pPr>
      <w:r>
        <w:t xml:space="preserve">The narrow imagery task is positive when at least two artifact-free, cross-validated runs pass and familywise false-positive probability is below</w:t>
      </w:r>
      <w:r>
        <w:t xml:space="preserve"> </w:t>
      </w:r>
      <m:oMath>
        <m:r>
          <m:t>.05</m:t>
        </m:r>
      </m:oMath>
      <w:r>
        <w:t xml:space="preserve">.</w:t>
      </w:r>
    </w:p>
    <w:p>
      <w:pPr>
        <w:pStyle w:val="Compact"/>
        <w:numPr>
          <w:ilvl w:val="0"/>
          <w:numId w:val="1011"/>
        </w:numPr>
      </w:pPr>
      <w:r>
        <w:t xml:space="preserve">Full positive</w:t>
      </w:r>
      <w:r>
        <w:t xml:space="preserve"> </w:t>
      </w:r>
      <m:oMath>
        <m:sSub>
          <m:e>
            <m:r>
              <m:t>C</m:t>
            </m:r>
          </m:e>
          <m:sub>
            <m:r>
              <m:t>0</m:t>
            </m:r>
          </m:sub>
        </m:sSub>
      </m:oMath>
      <w:r>
        <w:t xml:space="preserve"> </w:t>
      </w:r>
      <w:r>
        <w:t xml:space="preserve">classification requires a stable</w:t>
      </w:r>
      <w:r>
        <w:t xml:space="preserve"> </w:t>
      </w:r>
      <m:oMath>
        <m:sSub>
          <m:e>
            <m:r>
              <m:rPr>
                <m:scr m:val="script"/>
                <m:sty m:val="p"/>
              </m:rPr>
              <m:t>P</m:t>
            </m:r>
          </m:e>
          <m:sub>
            <m:r>
              <m:rPr>
                <m:sty m:val="p"/>
              </m:rPr>
              <m:t>Θ</m:t>
            </m:r>
          </m:sub>
        </m:sSub>
      </m:oMath>
      <w:r>
        <w:t xml:space="preserve"> </w:t>
      </w:r>
      <w:r>
        <w:t xml:space="preserve">referent, licensed</w:t>
      </w:r>
      <w:r>
        <w:t xml:space="preserve"> </w:t>
      </w:r>
      <m:oMath>
        <m:r>
          <m:t>V</m:t>
        </m:r>
        <m:r>
          <m:rPr>
            <m:sty m:val="p"/>
          </m:rPr>
          <m:t>,</m:t>
        </m:r>
        <m:sSub>
          <m:e>
            <m:r>
              <m:t>N</m:t>
            </m:r>
          </m:e>
          <m:sub>
            <m:r>
              <m:t>1</m:t>
            </m:r>
          </m:sub>
        </m:sSub>
        <m:r>
          <m:rPr>
            <m:sty m:val="p"/>
          </m:rPr>
          <m:t>,</m:t>
        </m:r>
        <m:sSub>
          <m:e>
            <m:r>
              <m:t>N</m:t>
            </m:r>
          </m:e>
          <m:sub>
            <m:r>
              <m:t>2</m:t>
            </m:r>
          </m:sub>
        </m:sSub>
        <m:r>
          <m:rPr>
            <m:sty m:val="p"/>
          </m:rPr>
          <m:t>,</m:t>
        </m:r>
        <m:sSub>
          <m:e>
            <m:r>
              <m:t>N</m:t>
            </m:r>
          </m:e>
          <m:sub>
            <m:r>
              <m:t>3</m:t>
            </m:r>
          </m:sub>
        </m:sSub>
      </m:oMath>
      <w:r>
        <w:t xml:space="preserve">, a resolved inclusion-minimal positive bearer, and no unresolved credible conflict.</w:t>
      </w:r>
    </w:p>
    <w:p>
      <w:pPr>
        <w:pStyle w:val="Compact"/>
        <w:numPr>
          <w:ilvl w:val="0"/>
          <w:numId w:val="1011"/>
        </w:numPr>
      </w:pPr>
      <w:r>
        <w:t xml:space="preserve">A negative task result is unlicensed if sensory opportunity, arousal, task auxiliaries, or data quality fails.</w:t>
      </w:r>
    </w:p>
    <w:p>
      <w:pPr>
        <w:pStyle w:val="Compact"/>
        <w:numPr>
          <w:ilvl w:val="0"/>
          <w:numId w:val="1011"/>
        </w:numPr>
      </w:pPr>
      <w:r>
        <w:rPr>
          <w:b/>
          <w:bCs/>
        </w:rPr>
        <w:t xml:space="preserve">Not yet assessed</w:t>
      </w:r>
      <w:r>
        <w:t xml:space="preserve"> </w:t>
      </w:r>
      <w:r>
        <w:t xml:space="preserve">is permitted between releases when the required test has not occurred. It is a workflow marker, not a fifth final scientific outcome.</w:t>
      </w:r>
    </w:p>
    <w:p>
      <w:pPr>
        <w:pStyle w:val="Compact"/>
        <w:numPr>
          <w:ilvl w:val="0"/>
          <w:numId w:val="1011"/>
        </w:numPr>
      </w:pPr>
      <w:r>
        <w:t xml:space="preserve">Scientific status is frozen before loss units or action options are considered.</w:t>
      </w:r>
    </w:p>
    <w:bookmarkEnd w:id="46"/>
    <w:bookmarkStart w:id="47" w:name="stage-1---rounds-1-and-2"/>
    <w:p>
      <w:pPr>
        <w:pStyle w:val="Heading3"/>
      </w:pPr>
      <w:r>
        <w:t xml:space="preserve">Stage 1 - Rounds 1 and 2</w:t>
      </w:r>
    </w:p>
    <w:p>
      <w:pPr>
        <w:pStyle w:val="FirstParagraph"/>
      </w:pPr>
      <w:r>
        <w:rPr>
          <w:b/>
          <w:bCs/>
        </w:rPr>
        <w:t xml:space="preserve">Round 1 - context and bedside card.</w:t>
      </w:r>
      <w:r>
        <w:t xml:space="preserve"> </w:t>
      </w:r>
      <w:r>
        <w:t xml:space="preserve">A patient with severe brain injury shows eye opening and sleep-wake cycles but no reliable bedside command response. Sedation has been discontinued. One examiner sees a possible visual fixation; a second does not.</w:t>
      </w:r>
    </w:p>
    <w:p>
      <w:pPr>
        <w:pStyle w:val="BodyText"/>
      </w:pPr>
      <w:r>
        <w:rPr>
          <w:b/>
          <w:bCs/>
        </w:rPr>
        <w:t xml:space="preserve">Round 2 - route, boundary, and viability card.</w:t>
      </w:r>
      <w:r>
        <w:t xml:space="preserve"> </w:t>
      </w:r>
      <w:r>
        <w:t xml:space="preserve">Auditory brainstem responses are present. In the later high-arousal imagery window, an independent cortical speech-discrimination check passes. A discovery-only connectivity analysis nominates a thalamocortical candidate that is stable across two grains, but no held-out minimality and separability adjudication has yet resolved a positive bearer. Physiological viability is adequate in high-arousal windows and poor in low-arousal windows.</w:t>
      </w:r>
    </w:p>
    <w:p>
      <w:pPr>
        <w:pStyle w:val="BodyText"/>
      </w:pPr>
      <w:r>
        <w:t xml:space="preserve">Before requesting Stage 2, submit all Stage-1 rows, identify which targets are merely not yet assessed, and request exactly one next measurement.</w:t>
      </w:r>
    </w:p>
    <w:p>
      <w:pPr>
        <w:pStyle w:val="BodyText"/>
      </w:pPr>
      <w:r>
        <w:t xml:space="preserve">After the final assigned release, submit the assessment tuple, target-specific outcome, cause emphasis, forbidden broader generalization, next study, and separate action note for every assessed window.</w:t>
      </w:r>
    </w:p>
    <w:p>
      <w:pPr>
        <w:pStyle w:val="BodyText"/>
      </w:pPr>
      <w:r>
        <w:rPr>
          <w:b/>
          <w:bCs/>
        </w:rPr>
        <w:t xml:space="preserve">Accessible/digital alternative:</w:t>
      </w:r>
      <w:r>
        <w:t xml:space="preserve"> </w:t>
      </w:r>
      <w:r>
        <w:t xml:space="preserve">release stages through timed LMS modules. Students may submit written role memos and do not need to portray a patient or disclose personal experience.</w:t>
      </w:r>
    </w:p>
    <w:bookmarkEnd w:id="47"/>
    <w:bookmarkEnd w:id="48"/>
    <w:bookmarkStart w:id="51" w:name="X23c1ea757c6b04aa7c9bcc72edd2ae01e1634ab"/>
    <w:p>
      <w:pPr>
        <w:pStyle w:val="Heading2"/>
        <w:pageBreakBefore/>
      </w:pPr>
      <w:r>
        <w:t xml:space="preserve">Session 12 Resource. Cross-Substrate Transport Jigsaw</w:t>
      </w:r>
    </w:p>
    <w:bookmarkStart w:id="49" w:name="frozen-source-measure-and-transport-rule"/>
    <w:p>
      <w:pPr>
        <w:pStyle w:val="Heading3"/>
      </w:pPr>
      <w:r>
        <w:t xml:space="preserve">Frozen Source Measure and Transport Rule</w:t>
      </w:r>
    </w:p>
    <w:p>
      <w:pPr>
        <w:pStyle w:val="FirstParagraph"/>
      </w:pPr>
      <w:r>
        <w:t xml:space="preserve">All dossiers are synthetic. The Perturbational Role Index (PRI) is a frozen composite of perturbational differentiation, causal spread across calibrated recipient classes, and recurrent return toward a content-specific trajectory during a 300 ms human thalamocortical trial. It estimates that source-domain operational role profile; it is not a direct measure of phenomenality. In its human source domain, PRI has a positive threshold of</w:t>
      </w:r>
      <w:r>
        <w:t xml:space="preserve"> </w:t>
      </w:r>
      <m:oMath>
        <m:r>
          <m:t>.65</m:t>
        </m:r>
      </m:oMath>
      <w:r>
        <w:t xml:space="preserve">, sensitivity</w:t>
      </w:r>
      <w:r>
        <w:t xml:space="preserve"> </w:t>
      </w:r>
      <m:oMath>
        <m:r>
          <m:t>.90</m:t>
        </m:r>
      </m:oMath>
      <w:r>
        <w:t xml:space="preserve">, and specificity</w:t>
      </w:r>
      <w:r>
        <w:t xml:space="preserve"> </w:t>
      </w:r>
      <m:oMath>
        <m:r>
          <m:t>.88</m:t>
        </m:r>
      </m:oMath>
      <w:r>
        <w:t xml:space="preserve"> </w:t>
      </w:r>
      <w:r>
        <w:t xml:space="preserve">for that exact profile. A target-domain interpretation is licensed only if all four fields pass:</w:t>
      </w:r>
    </w:p>
    <w:p>
      <w:pPr>
        <w:pStyle w:val="Compact"/>
        <w:numPr>
          <w:ilvl w:val="0"/>
          <w:numId w:val="1012"/>
        </w:numPr>
      </w:pPr>
      <w:r>
        <w:t xml:space="preserve">construct preservation;</w:t>
      </w:r>
    </w:p>
    <w:p>
      <w:pPr>
        <w:pStyle w:val="Compact"/>
        <w:numPr>
          <w:ilvl w:val="0"/>
          <w:numId w:val="1012"/>
        </w:numPr>
      </w:pPr>
      <w:r>
        <w:t xml:space="preserve">causal-role preservation;</w:t>
      </w:r>
    </w:p>
    <w:p>
      <w:pPr>
        <w:pStyle w:val="Compact"/>
        <w:numPr>
          <w:ilvl w:val="0"/>
          <w:numId w:val="1012"/>
        </w:numPr>
      </w:pPr>
      <w:r>
        <w:t xml:space="preserve">calibration preservation, including defensible thresholds and error rates; and</w:t>
      </w:r>
    </w:p>
    <w:p>
      <w:pPr>
        <w:pStyle w:val="Compact"/>
        <w:numPr>
          <w:ilvl w:val="0"/>
          <w:numId w:val="1012"/>
        </w:numPr>
      </w:pPr>
      <w:r>
        <w:t xml:space="preserve">stable boundary and operating regime.</w:t>
      </w:r>
    </w:p>
    <w:p>
      <w:pPr>
        <w:pStyle w:val="FirstParagraph"/>
      </w:pPr>
      <w:r>
        <w:t xml:space="preserve">A favorable PRI number without all four fields is unlicensed, not negative and not positive.</w:t>
      </w:r>
    </w:p>
    <w:bookmarkEnd w:id="49"/>
    <w:bookmarkStart w:id="50" w:name="student-materials-11"/>
    <w:p>
      <w:pPr>
        <w:pStyle w:val="Heading3"/>
      </w:pPr>
      <w:r>
        <w:t xml:space="preserve">Student Materials</w:t>
      </w:r>
    </w:p>
    <w:p>
      <w:pPr>
        <w:pStyle w:val="FirstParagraph"/>
      </w:pPr>
      <w:r>
        <w:rPr>
          <w:b/>
          <w:bCs/>
        </w:rPr>
        <w:t xml:space="preserve">Core.</w:t>
      </w:r>
      <w:r>
        <w:t xml:space="preserve"> </w:t>
      </w:r>
      <w:r>
        <w:t xml:space="preserve">Assign one private dossier card per team.</w:t>
      </w:r>
      <w:r>
        <w:t xml:space="preserve"> </w:t>
      </w:r>
      <w:r>
        <w:rPr>
          <w:b/>
          <w:bCs/>
        </w:rPr>
        <w:t xml:space="preserve">Extension.</w:t>
      </w:r>
      <w:r>
        <w:t xml:space="preserve"> </w:t>
      </w:r>
      <w:r>
        <w:t xml:space="preserve">After core commitments, compare Dossiers B and D across a short and long horizon and specify which candidate mapping must remain stable.</w:t>
      </w:r>
    </w:p>
    <w:p>
      <w:pPr>
        <w:pStyle w:val="BodyText"/>
      </w:pPr>
      <w:r>
        <w:t xml:space="preserve">Submit source construct, proposed target mapping, tolerance, four transport fields, transport license, within-theory outcome, field-level model qualifier, falsifier, next study, and separate precaution note.</w:t>
      </w:r>
    </w:p>
    <w:p>
      <w:pPr>
        <w:pStyle w:val="BodyText"/>
      </w:pPr>
      <w:r>
        <w:rPr>
          <w:b/>
          <w:bCs/>
        </w:rPr>
        <w:t xml:space="preserve">Accessible/digital alternative:</w:t>
      </w:r>
      <w:r>
        <w:t xml:space="preserve"> </w:t>
      </w:r>
      <w:r>
        <w:t xml:space="preserve">expert groups exchange written transport memos rather than physically regroup. Each dossier is available as an accessible linear text card.</w:t>
      </w:r>
    </w:p>
    <w:bookmarkEnd w:id="50"/>
    <w:bookmarkEnd w:id="51"/>
    <w:bookmarkStart w:id="57" w:name="Xbd0bf044c3a0afab5585c0dfd916509bc72d227"/>
    <w:p>
      <w:pPr>
        <w:pStyle w:val="Heading2"/>
        <w:pageBreakBefore/>
      </w:pPr>
      <w:r>
        <w:t xml:space="preserve">Session 13 Resource. Versioned Rival-Prediction Laboratory</w:t>
      </w:r>
    </w:p>
    <w:bookmarkStart w:id="52" w:name="student-materials-12"/>
    <w:p>
      <w:pPr>
        <w:pStyle w:val="Heading3"/>
      </w:pPr>
      <w:r>
        <w:t xml:space="preserve">Student Materials</w:t>
      </w:r>
    </w:p>
    <w:bookmarkEnd w:id="52"/>
    <w:bookmarkStart w:id="53" w:name="use-warning"/>
    <w:p>
      <w:pPr>
        <w:pStyle w:val="Heading3"/>
      </w:pPr>
      <w:r>
        <w:t xml:space="preserve">Use Warning</w:t>
      </w:r>
    </w:p>
    <w:p>
      <w:pPr>
        <w:pStyle w:val="FirstParagraph"/>
      </w:pPr>
      <w:r>
        <w:t xml:space="preserve">The theory cards are compact teaching abstractions, not substitutes for primary texts. The assigned source governs whenever a card and source differ. Every case profile is synthetic. Before final submission, the source auditor must attach one section or page citation that supports the rival prediction or mark it unresolved.</w:t>
      </w:r>
    </w:p>
    <w:p>
      <w:pPr>
        <w:pStyle w:val="BodyText"/>
      </w:pPr>
      <w:r>
        <w:t xml:space="preserve">Use these frozen source assignments and locators. If pagination differs, locate the named section and record the edition used.</w:t>
      </w:r>
    </w:p>
    <w:tbl>
      <w:tblPr>
        <w:tblStyle w:val="Table"/>
        <w:tblW w:type="dxa" w:w="9994"/>
        <w:jc w:val="center"/>
        <w:tblLayout w:type="fixed"/>
        <w:tblLook w:firstRow="1" w:lastRow="0" w:firstColumn="0" w:lastColumn="0" w:noHBand="0" w:noVBand="0" w:val="0020"/>
      </w:tblPr>
      <w:tblGrid>
        <w:gridCol w:w="700"/>
        <w:gridCol w:w="3398"/>
        <w:gridCol w:w="5896"/>
      </w:tblGrid>
      <w:tr>
        <w:trPr>
          <w:tblHeader w:val="on"/>
          <w:cantSplit/>
        </w:trPr>
        <w:tc>
          <w:tcPr>
            <w:tcW w:w="700"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Card</w:t>
            </w:r>
          </w:p>
        </w:tc>
        <w:tc>
          <w:tcPr>
            <w:tcW w:w="3398"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Frozen source</w:t>
            </w:r>
          </w:p>
        </w:tc>
        <w:tc>
          <w:tcPr>
            <w:tcW w:w="5896"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Required passage</w:t>
            </w:r>
          </w:p>
        </w:tc>
      </w:tr>
      <w:tr>
        <w:trPr>
          <w:cantSplit/>
        </w:trPr>
        <w:tc>
          <w:tcPr>
            <w:tcW w:w="7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w:t>
            </w:r>
          </w:p>
        </w:tc>
        <w:tc>
          <w:tcPr>
            <w:tcW w:w="33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Stilwell (2026),</w:t>
            </w:r>
            <w:r>
              <w:rPr>
                <w:rFonts w:ascii="Liberation Sans" w:hAnsi="Liberation Sans" w:eastAsia="Liberation Sans" w:cs="Liberation Sans"/>
                <w:color w:val="232A30"/>
                <w:sz w:val="18"/>
              </w:rPr>
              <w:t xml:space="preserve"> </w:t>
            </w:r>
            <w:r>
              <w:rPr>
                <w:rFonts w:ascii="Liberation Sans" w:hAnsi="Liberation Sans" w:eastAsia="Liberation Sans" w:cs="Liberation Sans"/>
                <w:i/>
                <w:iCs/>
                <w:color w:val="232A30"/>
                <w:sz w:val="18"/>
              </w:rPr>
              <w:t xml:space="preserve">C0 as N*</w:t>
            </w:r>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Version 2.0</w:t>
            </w:r>
          </w:p>
        </w:tc>
        <w:tc>
          <w:tcPr>
            <w:tcW w:w="5896"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Sections 2, 4-12, 15, and 18</w:t>
            </w:r>
          </w:p>
        </w:tc>
      </w:tr>
      <w:tr>
        <w:trPr>
          <w:cantSplit/>
        </w:trPr>
        <w:tc>
          <w:tcPr>
            <w:tcW w:w="7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w:t>
            </w:r>
          </w:p>
        </w:tc>
        <w:tc>
          <w:tcPr>
            <w:tcW w:w="33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Albantakis et al. (2023), IIT 4.0</w:t>
            </w:r>
          </w:p>
        </w:tc>
        <w:tc>
          <w:tcPr>
            <w:tcW w:w="5896"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sections</w:t>
            </w:r>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“IIT 4.0: postulates and principles”</w:t>
            </w:r>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and</w:t>
            </w:r>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“Exclusion postulate”</w:t>
            </w:r>
          </w:p>
        </w:tc>
      </w:tr>
      <w:tr>
        <w:trPr>
          <w:cantSplit/>
        </w:trPr>
        <w:tc>
          <w:tcPr>
            <w:tcW w:w="7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w:t>
            </w:r>
          </w:p>
        </w:tc>
        <w:tc>
          <w:tcPr>
            <w:tcW w:w="33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Mashour et al. (2020), GNWT review</w:t>
            </w:r>
          </w:p>
        </w:tc>
        <w:tc>
          <w:tcPr>
            <w:tcW w:w="5896"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pp. 780-789 on global availability, ignition, and workspace dynamics</w:t>
            </w:r>
          </w:p>
        </w:tc>
      </w:tr>
      <w:tr>
        <w:trPr>
          <w:cantSplit/>
        </w:trPr>
        <w:tc>
          <w:tcPr>
            <w:tcW w:w="7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4</w:t>
            </w:r>
          </w:p>
        </w:tc>
        <w:tc>
          <w:tcPr>
            <w:tcW w:w="33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Lamme (2006), recurrent-processing account</w:t>
            </w:r>
          </w:p>
        </w:tc>
        <w:tc>
          <w:tcPr>
            <w:tcW w:w="5896"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pp. 494-498 on local recurrence and later access</w:t>
            </w:r>
          </w:p>
        </w:tc>
      </w:tr>
      <w:tr>
        <w:trPr>
          <w:cantSplit/>
        </w:trPr>
        <w:tc>
          <w:tcPr>
            <w:tcW w:w="7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5</w:t>
            </w:r>
          </w:p>
        </w:tc>
        <w:tc>
          <w:tcPr>
            <w:tcW w:w="33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Lau and Rosenthal (2011), higher-order account</w:t>
            </w:r>
          </w:p>
        </w:tc>
        <w:tc>
          <w:tcPr>
            <w:tcW w:w="5896"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pp. 365-369 on higher-order representation and conscious awareness</w:t>
            </w:r>
          </w:p>
        </w:tc>
      </w:tr>
      <w:tr>
        <w:trPr>
          <w:cantSplit/>
        </w:trPr>
        <w:tc>
          <w:tcPr>
            <w:tcW w:w="7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6</w:t>
            </w:r>
          </w:p>
        </w:tc>
        <w:tc>
          <w:tcPr>
            <w:tcW w:w="33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Friston et al. (2021), active-inference framework</w:t>
            </w:r>
          </w:p>
        </w:tc>
        <w:tc>
          <w:tcPr>
            <w:tcW w:w="5896"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pp. 211-221 on Markov blankets and self-organizing dynamics; mark any consciousness criterion not stated there as unresolved</w:t>
            </w:r>
          </w:p>
        </w:tc>
      </w:tr>
      <w:tr>
        <w:trPr>
          <w:cantSplit/>
        </w:trPr>
        <w:tc>
          <w:tcPr>
            <w:tcW w:w="7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7</w:t>
            </w:r>
          </w:p>
        </w:tc>
        <w:tc>
          <w:tcPr>
            <w:tcW w:w="33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Graziano and Webb (2015), attention-schema theory</w:t>
            </w:r>
          </w:p>
        </w:tc>
        <w:tc>
          <w:tcPr>
            <w:tcW w:w="5896"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sections</w:t>
            </w:r>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“Basic mechanism”</w:t>
            </w:r>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and</w:t>
            </w:r>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“The attention schema and awareness”</w:t>
            </w:r>
          </w:p>
        </w:tc>
      </w:tr>
      <w:tr>
        <w:trPr>
          <w:cantSplit/>
        </w:trPr>
        <w:tc>
          <w:tcPr>
            <w:tcW w:w="7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8</w:t>
            </w:r>
          </w:p>
        </w:tc>
        <w:tc>
          <w:tcPr>
            <w:tcW w:w="33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Thompson and Varela (2001), radical embodiment</w:t>
            </w:r>
          </w:p>
        </w:tc>
        <w:tc>
          <w:tcPr>
            <w:tcW w:w="5896"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pp. 418-423 on organismic regulation and brain-body dynamics</w:t>
            </w:r>
          </w:p>
        </w:tc>
      </w:tr>
      <w:tr>
        <w:trPr>
          <w:cantSplit/>
        </w:trPr>
        <w:tc>
          <w:tcPr>
            <w:tcW w:w="7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9</w:t>
            </w:r>
          </w:p>
        </w:tc>
        <w:tc>
          <w:tcPr>
            <w:tcW w:w="33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Frankish (2016), illusionism</w:t>
            </w:r>
          </w:p>
        </w:tc>
        <w:tc>
          <w:tcPr>
            <w:tcW w:w="5896"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pp. 11-20 on the revisionary target and explanatory project</w:t>
            </w:r>
          </w:p>
        </w:tc>
      </w:tr>
      <w:tr>
        <w:trPr>
          <w:cantSplit/>
        </w:trPr>
        <w:tc>
          <w:tcPr>
            <w:tcW w:w="7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33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Goff (2019), panpsychist fundamentalism</w:t>
            </w:r>
          </w:p>
        </w:tc>
        <w:tc>
          <w:tcPr>
            <w:tcW w:w="5896"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Introduction and Chapter 2; identify whether the source issues a matched case-level prediction</w:t>
            </w:r>
          </w:p>
        </w:tc>
      </w:tr>
    </w:tbl>
    <w:bookmarkEnd w:id="53"/>
    <w:bookmarkStart w:id="54" w:name="core-version-cards"/>
    <w:p>
      <w:pPr>
        <w:pStyle w:val="Heading3"/>
      </w:pPr>
      <w:r>
        <w:t xml:space="preserve">Core Version Cards</w:t>
      </w:r>
    </w:p>
    <w:tbl>
      <w:tblPr>
        <w:tblStyle w:val="Table"/>
        <w:tblW w:type="dxa" w:w="9994"/>
        <w:jc w:val="center"/>
        <w:tblLayout w:type="fixed"/>
        <w:tblLook w:firstRow="1" w:lastRow="0" w:firstColumn="0" w:lastColumn="0" w:noHBand="0" w:noVBand="0" w:val="0020"/>
      </w:tblPr>
      <w:tblGrid>
        <w:gridCol w:w="600"/>
        <w:gridCol w:w="1799"/>
        <w:gridCol w:w="1499"/>
        <w:gridCol w:w="2399"/>
        <w:gridCol w:w="1899"/>
        <w:gridCol w:w="1798"/>
      </w:tblGrid>
      <w:tr>
        <w:trPr>
          <w:tblHeader w:val="on"/>
          <w:cantSplit/>
        </w:trPr>
        <w:tc>
          <w:tcPr>
            <w:tcW w:w="600"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Card</w:t>
            </w:r>
          </w:p>
        </w:tc>
        <w:tc>
          <w:tcPr>
            <w:tcW w:w="17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Exact teaching version</w:t>
            </w:r>
          </w:p>
        </w:tc>
        <w:tc>
          <w:tcPr>
            <w:tcW w:w="14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Primary target</w:t>
            </w:r>
          </w:p>
        </w:tc>
        <w:tc>
          <w:tcPr>
            <w:tcW w:w="23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Bearer and central commitment</w:t>
            </w:r>
          </w:p>
        </w:tc>
        <w:tc>
          <w:tcPr>
            <w:tcW w:w="1899"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Report and time</w:t>
            </w:r>
          </w:p>
        </w:tc>
        <w:tc>
          <w:tcPr>
            <w:tcW w:w="1798"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Main caution</w:t>
            </w:r>
          </w:p>
        </w:tc>
      </w:tr>
      <w:tr>
        <w:trPr>
          <w:cantSplit/>
        </w:trPr>
        <w:tc>
          <w:tcPr>
            <w:tcW w:w="6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w:t>
            </w:r>
          </w:p>
        </w:tc>
        <w:tc>
          <w:tcPr>
            <w:tcW w:w="17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Cø / N* as taught in this manual</w:t>
            </w:r>
          </w:p>
        </w:tc>
        <w:tc>
          <w:tcPr>
            <w:tcW w:w="14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minimal phenomenal presence</w:t>
            </w:r>
          </w:p>
        </w:tc>
        <w:tc>
          <w:tcPr>
            <w:tcW w:w="23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independently bounded viable candidate jointly realizes integration, diverse causal availability, and bounded recurrence</w:t>
            </w:r>
          </w:p>
        </w:tc>
        <w:tc>
          <w:tcPr>
            <w:tcW w:w="18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report not constitutive; recurrence required</w:t>
            </w:r>
          </w:p>
        </w:tc>
        <w:tc>
          <w:tcPr>
            <w:tcW w:w="17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identity remains a hypothesis</w:t>
            </w:r>
          </w:p>
        </w:tc>
      </w:tr>
      <w:tr>
        <w:trPr>
          <w:cantSplit/>
        </w:trPr>
        <w:tc>
          <w:tcPr>
            <w:tcW w:w="6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2</w:t>
            </w:r>
          </w:p>
        </w:tc>
        <w:tc>
          <w:tcPr>
            <w:tcW w:w="17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IIT 4.0 teaching card, Albantakis et al. (2023)</w:t>
            </w:r>
          </w:p>
        </w:tc>
        <w:tc>
          <w:tcPr>
            <w:tcW w:w="14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phenomenal existence and structure</w:t>
            </w:r>
          </w:p>
        </w:tc>
        <w:tc>
          <w:tcPr>
            <w:tcW w:w="23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intrinsic cause-effect power of a candidate complex; irreducibility and exclusion are central</w:t>
            </w:r>
          </w:p>
        </w:tc>
        <w:tc>
          <w:tcPr>
            <w:tcW w:w="18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report not constitutive; temporal realization depends on system update</w:t>
            </w:r>
          </w:p>
        </w:tc>
        <w:tc>
          <w:tcPr>
            <w:tcW w:w="17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do not reduce IIT to generic integration magnitude</w:t>
            </w:r>
          </w:p>
        </w:tc>
      </w:tr>
      <w:tr>
        <w:trPr>
          <w:cantSplit/>
        </w:trPr>
        <w:tc>
          <w:tcPr>
            <w:tcW w:w="6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3</w:t>
            </w:r>
          </w:p>
        </w:tc>
        <w:tc>
          <w:tcPr>
            <w:tcW w:w="17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GNWT review version, Mashour et al. (2020)</w:t>
            </w:r>
          </w:p>
        </w:tc>
        <w:tc>
          <w:tcPr>
            <w:tcW w:w="14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conscious access or conscious processing</w:t>
            </w:r>
          </w:p>
        </w:tc>
        <w:tc>
          <w:tcPr>
            <w:tcW w:w="23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global availability through workspace-like ignition and broadcasting to multiple processors</w:t>
            </w:r>
          </w:p>
        </w:tc>
        <w:tc>
          <w:tcPr>
            <w:tcW w:w="18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report is common evidence, not always a defining output; sustained access dynamics matter</w:t>
            </w:r>
          </w:p>
        </w:tc>
        <w:tc>
          <w:tcPr>
            <w:tcW w:w="17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exact prefrontal and report commitments vary across GNWT formulations</w:t>
            </w:r>
          </w:p>
        </w:tc>
      </w:tr>
      <w:tr>
        <w:trPr>
          <w:cantSplit/>
        </w:trPr>
        <w:tc>
          <w:tcPr>
            <w:tcW w:w="6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4</w:t>
            </w:r>
          </w:p>
        </w:tc>
        <w:tc>
          <w:tcPr>
            <w:tcW w:w="17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Recurrent-processing version, Lamme (2006)</w:t>
            </w:r>
          </w:p>
        </w:tc>
        <w:tc>
          <w:tcPr>
            <w:tcW w:w="14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conscious perceptual content</w:t>
            </w:r>
          </w:p>
        </w:tc>
        <w:tc>
          <w:tcPr>
            <w:tcW w:w="23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recurrent processing in sensory systems is central</w:t>
            </w:r>
          </w:p>
        </w:tc>
        <w:tc>
          <w:tcPr>
            <w:tcW w:w="1899"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report and later access are separable; local feedback can suffice</w:t>
            </w:r>
          </w:p>
        </w:tc>
        <w:tc>
          <w:tcPr>
            <w:tcW w:w="17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distinguish recurrence from mere lateness</w:t>
            </w:r>
          </w:p>
        </w:tc>
      </w:tr>
      <w:tr>
        <w:trPr>
          <w:cantSplit/>
        </w:trPr>
        <w:tc>
          <w:tcPr>
            <w:tcW w:w="6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5</w:t>
            </w:r>
          </w:p>
        </w:tc>
        <w:tc>
          <w:tcPr>
            <w:tcW w:w="17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Higher-order representation teaching card, assigned Lau and Rosenthal (2011) source</w:t>
            </w:r>
          </w:p>
        </w:tc>
        <w:tc>
          <w:tcPr>
            <w:tcW w:w="14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conscious state or awareness of a first-order state</w:t>
            </w:r>
          </w:p>
        </w:tc>
        <w:tc>
          <w:tcPr>
            <w:tcW w:w="23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a suitable higher-order representation of the first-order state</w:t>
            </w:r>
          </w:p>
        </w:tc>
        <w:tc>
          <w:tcPr>
            <w:tcW w:w="1899"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report is evidence, not necessarily constitution; temporal details version-dependent</w:t>
            </w:r>
          </w:p>
        </w:tc>
        <w:tc>
          <w:tcPr>
            <w:tcW w:w="17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specify whether the theory targets minimal presence or reflective awareness</w:t>
            </w:r>
          </w:p>
        </w:tc>
      </w:tr>
    </w:tbl>
    <w:bookmarkEnd w:id="54"/>
    <w:bookmarkStart w:id="55" w:name="extension-version-cards"/>
    <w:p>
      <w:pPr>
        <w:pStyle w:val="Heading3"/>
      </w:pPr>
      <w:r>
        <w:t xml:space="preserve">Extension Version Cards</w:t>
      </w:r>
    </w:p>
    <w:tbl>
      <w:tblPr>
        <w:tblStyle w:val="Table"/>
        <w:tblW w:type="dxa" w:w="9994"/>
        <w:jc w:val="center"/>
        <w:tblLayout w:type="fixed"/>
        <w:tblLook w:firstRow="1" w:lastRow="0" w:firstColumn="0" w:lastColumn="0" w:noHBand="0" w:noVBand="0" w:val="0020"/>
      </w:tblPr>
      <w:tblGrid>
        <w:gridCol w:w="600"/>
        <w:gridCol w:w="2998"/>
        <w:gridCol w:w="3398"/>
        <w:gridCol w:w="2998"/>
      </w:tblGrid>
      <w:tr>
        <w:trPr>
          <w:tblHeader w:val="on"/>
          <w:cantSplit/>
        </w:trPr>
        <w:tc>
          <w:tcPr>
            <w:tcW w:w="600" w:type="dxa"/>
            <w:vAlign w:val="center"/>
            <w:tcMar>
              <w:top w:w="70" w:type="dxa"/>
              <w:bottom w:w="70" w:type="dxa"/>
              <w:start w:w="85" w:type="dxa"/>
              <w:end w:w="85" w:type="dxa"/>
            </w:tcMar>
            <w:shd w:fill="1B344C" w:val="clear"/>
          </w:tcPr>
          <w:p>
            <w:pPr>
              <w:pStyle w:val="Compact"/>
              <w:spacing w:before="0" w:after="40" w:line="240" w:lineRule="auto"/>
              <w:jc w:val="center"/>
            </w:pPr>
            <w:r>
              <w:rPr>
                <w:rFonts w:ascii="Liberation Sans" w:hAnsi="Liberation Sans" w:eastAsia="Liberation Sans" w:cs="Liberation Sans"/>
                <w:b/>
                <w:color w:val="FFFFFF"/>
                <w:sz w:val="18"/>
              </w:rPr>
              <w:t xml:space="preserve">Card</w:t>
            </w:r>
          </w:p>
        </w:tc>
        <w:tc>
          <w:tcPr>
            <w:tcW w:w="2998"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Teaching version</w:t>
            </w:r>
          </w:p>
        </w:tc>
        <w:tc>
          <w:tcPr>
            <w:tcW w:w="3398"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Primary pressure</w:t>
            </w:r>
          </w:p>
        </w:tc>
        <w:tc>
          <w:tcPr>
            <w:tcW w:w="2998"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Comparison caution</w:t>
            </w:r>
          </w:p>
        </w:tc>
      </w:tr>
      <w:tr>
        <w:trPr>
          <w:cantSplit/>
        </w:trPr>
        <w:tc>
          <w:tcPr>
            <w:tcW w:w="6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6</w:t>
            </w:r>
          </w:p>
        </w:tc>
        <w:tc>
          <w:tcPr>
            <w:tcW w:w="29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Predictive or active-inference account, assigned Friston et al. (2021) source</w:t>
            </w:r>
          </w:p>
        </w:tc>
        <w:tc>
          <w:tcPr>
            <w:tcW w:w="33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precision-weighted hierarchical inference and self-organizing regulation</w:t>
            </w:r>
          </w:p>
        </w:tc>
        <w:tc>
          <w:tcPr>
            <w:tcW w:w="29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may be an implementation framework rather than a unique consciousness criterion</w:t>
            </w:r>
          </w:p>
        </w:tc>
      </w:tr>
      <w:tr>
        <w:trPr>
          <w:cantSplit/>
        </w:trPr>
        <w:tc>
          <w:tcPr>
            <w:tcW w:w="6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7</w:t>
            </w:r>
          </w:p>
        </w:tc>
        <w:tc>
          <w:tcPr>
            <w:tcW w:w="29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Attention-schema account, assigned Graziano and Webb (2015) source</w:t>
            </w:r>
          </w:p>
        </w:tc>
        <w:tc>
          <w:tcPr>
            <w:tcW w:w="33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an internal model of attention supports control and consciousness attribution</w:t>
            </w:r>
          </w:p>
        </w:tc>
        <w:tc>
          <w:tcPr>
            <w:tcW w:w="29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often targets self-model, report, or attribution rather than minimal presence alone</w:t>
            </w:r>
          </w:p>
        </w:tc>
      </w:tr>
      <w:tr>
        <w:trPr>
          <w:cantSplit/>
        </w:trPr>
        <w:tc>
          <w:tcPr>
            <w:tcW w:w="6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8</w:t>
            </w:r>
          </w:p>
        </w:tc>
        <w:tc>
          <w:tcPr>
            <w:tcW w:w="29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Embodied or enactive account, assigned Thompson and Varela (2001) source</w:t>
            </w:r>
          </w:p>
        </w:tc>
        <w:tc>
          <w:tcPr>
            <w:tcW w:w="33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organismic regulation, action, affect, and world-involving dynamics</w:t>
            </w:r>
          </w:p>
        </w:tc>
        <w:tc>
          <w:tcPr>
            <w:tcW w:w="29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state whether embodiment is constitutive, enabling, or explanatory background</w:t>
            </w:r>
          </w:p>
        </w:tc>
      </w:tr>
      <w:tr>
        <w:trPr>
          <w:cantSplit/>
        </w:trPr>
        <w:tc>
          <w:tcPr>
            <w:tcW w:w="600" w:type="dxa"/>
            <w:vAlign w:val="center"/>
            <w:tcMar>
              <w:top w:w="70" w:type="dxa"/>
              <w:bottom w:w="70" w:type="dxa"/>
              <w:start w:w="85" w:type="dxa"/>
              <w:end w:w="85" w:type="dxa"/>
            </w:tcMar>
            <w:shd w:fill="F4F6F7" w:val="clear"/>
          </w:tcPr>
          <w:p>
            <w:pPr>
              <w:pStyle w:val="Compact"/>
              <w:spacing w:before="0" w:after="40" w:line="240" w:lineRule="auto"/>
              <w:jc w:val="center"/>
            </w:pPr>
            <w:r>
              <w:rPr>
                <w:rFonts w:ascii="Liberation Sans" w:hAnsi="Liberation Sans" w:eastAsia="Liberation Sans" w:cs="Liberation Sans"/>
                <w:color w:val="232A30"/>
                <w:sz w:val="18"/>
              </w:rPr>
              <w:t xml:space="preserve">9</w:t>
            </w:r>
          </w:p>
        </w:tc>
        <w:tc>
          <w:tcPr>
            <w:tcW w:w="29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Illusionist account, assigned Frankish (2016) source</w:t>
            </w:r>
          </w:p>
        </w:tc>
        <w:tc>
          <w:tcPr>
            <w:tcW w:w="33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explain judgments and dispositions to report phenomenality without positing phenomenal properties as C0 treats them</w:t>
            </w:r>
          </w:p>
        </w:tc>
        <w:tc>
          <w:tcPr>
            <w:tcW w:w="2998"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target may be revisionary rather than a case-level neural rival</w:t>
            </w:r>
          </w:p>
        </w:tc>
      </w:tr>
      <w:tr>
        <w:trPr>
          <w:cantSplit/>
        </w:trPr>
        <w:tc>
          <w:tcPr>
            <w:tcW w:w="600" w:type="dxa"/>
            <w:vAlign w:val="center"/>
            <w:tcMar>
              <w:top w:w="70" w:type="dxa"/>
              <w:bottom w:w="70" w:type="dxa"/>
              <w:start w:w="85" w:type="dxa"/>
              <w:end w:w="85" w:type="dxa"/>
            </w:tcMar>
            <w:shd w:fill="FFFFFF" w:val="clear"/>
          </w:tcPr>
          <w:p>
            <w:pPr>
              <w:pStyle w:val="Compact"/>
              <w:spacing w:before="0" w:after="40" w:line="240" w:lineRule="auto"/>
              <w:jc w:val="center"/>
            </w:pPr>
            <w:r>
              <w:rPr>
                <w:rFonts w:ascii="Liberation Sans" w:hAnsi="Liberation Sans" w:eastAsia="Liberation Sans" w:cs="Liberation Sans"/>
                <w:color w:val="232A30"/>
                <w:sz w:val="18"/>
              </w:rPr>
              <w:t xml:space="preserve">10</w:t>
            </w:r>
          </w:p>
        </w:tc>
        <w:tc>
          <w:tcPr>
            <w:tcW w:w="29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Fundamentalist or panpsychist account, assigned Goff (2019) source</w:t>
            </w:r>
          </w:p>
        </w:tc>
        <w:tc>
          <w:tcPr>
            <w:tcW w:w="33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consciousness is fundamental and organizational questions concern combination or structure</w:t>
            </w:r>
          </w:p>
        </w:tc>
        <w:tc>
          <w:tcPr>
            <w:tcW w:w="2998"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often does not issue the same case-level prediction without a combination theory</w:t>
            </w:r>
          </w:p>
        </w:tc>
      </w:tr>
    </w:tbl>
    <w:bookmarkEnd w:id="55"/>
    <w:bookmarkStart w:id="56" w:name="synthetic-diagnostic-profiles"/>
    <w:p>
      <w:pPr>
        <w:pStyle w:val="Heading3"/>
      </w:pPr>
      <w:r>
        <w:t xml:space="preserve">Synthetic Diagnostic Profiles</w:t>
      </w:r>
    </w:p>
    <w:p>
      <w:pPr>
        <w:pStyle w:val="FirstParagraph"/>
      </w:pPr>
      <w:r>
        <w:rPr>
          <w:b/>
          <w:bCs/>
        </w:rPr>
        <w:t xml:space="preserve">Core.</w:t>
      </w:r>
      <w:r>
        <w:t xml:space="preserve"> </w:t>
      </w:r>
      <w:r>
        <w:t xml:space="preserve">Assign one profile and its named core rival.</w:t>
      </w:r>
      <w:r>
        <w:t xml:space="preserve"> </w:t>
      </w:r>
      <w:r>
        <w:rPr>
          <w:b/>
          <w:bCs/>
        </w:rPr>
        <w:t xml:space="preserve">Extension.</w:t>
      </w:r>
      <w:r>
        <w:t xml:space="preserve"> </w:t>
      </w:r>
      <w:r>
        <w:t xml:space="preserve">Add one extension rival only when its assigned source yields a genuine matched-target prediction.</w:t>
      </w:r>
    </w:p>
    <w:p>
      <w:pPr>
        <w:pStyle w:val="BodyText"/>
      </w:pPr>
      <w:r>
        <w:t xml:space="preserve">Every profile concerns one frozen candidate</w:t>
      </w:r>
      <w:r>
        <w:t xml:space="preserve"> </w:t>
      </w:r>
      <m:oMath>
        <m:r>
          <m:t>S</m:t>
        </m:r>
      </m:oMath>
      <w:r>
        <w:t xml:space="preserve">, content</w:t>
      </w:r>
      <w:r>
        <w:t xml:space="preserve"> </w:t>
      </w:r>
      <m:oMath>
        <m:r>
          <m:t>c</m:t>
        </m:r>
      </m:oMath>
      <w:r>
        <w:t xml:space="preserve">, regime, and interval. In A-D,</w:t>
      </w:r>
      <w:r>
        <w:t xml:space="preserve"> </w:t>
      </w:r>
      <m:oMath>
        <m:r>
          <m:t>S</m:t>
        </m:r>
      </m:oMath>
      <w:r>
        <w:t xml:space="preserve"> </w:t>
      </w:r>
      <w:r>
        <w:t xml:space="preserve">is a stable causally admissible</w:t>
      </w:r>
      <w:r>
        <w:t xml:space="preserve"> </w:t>
      </w:r>
      <m:oMath>
        <m:sSub>
          <m:e>
            <m:r>
              <m:rPr>
                <m:scr m:val="script"/>
                <m:sty m:val="p"/>
              </m:rPr>
              <m:t>P</m:t>
            </m:r>
          </m:e>
          <m:sub>
            <m:r>
              <m:rPr>
                <m:sty m:val="p"/>
              </m:rPr>
              <m:t>Θ</m:t>
            </m:r>
          </m:sub>
        </m:sSub>
      </m:oMath>
      <w:r>
        <w:t xml:space="preserve"> </w:t>
      </w:r>
      <w:r>
        <w:t xml:space="preserve">referent and the stated licensed component failures block its positive-bearer membership; conclusions concern that specified referent, not every possible bearer elsewhere in the system. Profile E supplies the additional minimality and resolution facts needed for a positive-bearer verdict. Receive only the profile assigned to your team until predictions are committed.</w:t>
      </w:r>
    </w:p>
    <w:p>
      <w:pPr>
        <w:pStyle w:val="BodyText"/>
      </w:pPr>
      <w:r>
        <w:t xml:space="preserve">Submit the exact source version and passage, matched target, ordinary agreement case, diagnostic profile, prospective predictions, decisive evidence, and revision commitment for both accounts.</w:t>
      </w:r>
    </w:p>
    <w:p>
      <w:pPr>
        <w:pStyle w:val="BodyText"/>
      </w:pPr>
      <w:r>
        <w:rPr>
          <w:b/>
          <w:bCs/>
        </w:rPr>
        <w:t xml:space="preserve">Accessible/digital alternative:</w:t>
      </w:r>
      <w:r>
        <w:t xml:space="preserve"> </w:t>
      </w:r>
      <w:r>
        <w:t xml:space="preserve">version cards are searchable text. Advocates may submit source-verified written predictions before discussion; the comparison chair works from those records.</w:t>
      </w:r>
    </w:p>
    <w:bookmarkEnd w:id="56"/>
    <w:bookmarkEnd w:id="57"/>
    <w:bookmarkStart w:id="61" w:name="X18a7424d041af141c98dc61f053850687727544"/>
    <w:p>
      <w:pPr>
        <w:pStyle w:val="Heading2"/>
        <w:pageBreakBefore/>
      </w:pPr>
      <w:r>
        <w:t xml:space="preserve">Session 14 Resource. Adversarial Preregistration and Result Tribunal</w:t>
      </w:r>
    </w:p>
    <w:bookmarkStart w:id="58" w:name="student-materials-13"/>
    <w:p>
      <w:pPr>
        <w:pStyle w:val="Heading3"/>
      </w:pPr>
      <w:r>
        <w:t xml:space="preserve">Student Materials</w:t>
      </w:r>
    </w:p>
    <w:bookmarkEnd w:id="58"/>
    <w:bookmarkStart w:id="59" w:name="frozen-practice-specification"/>
    <w:p>
      <w:pPr>
        <w:pStyle w:val="Heading3"/>
      </w:pPr>
      <w:r>
        <w:t xml:space="preserve">Frozen Practice Specification</w:t>
      </w:r>
    </w:p>
    <w:p>
      <w:pPr>
        <w:pStyle w:val="FirstParagraph"/>
      </w:pPr>
      <w:r>
        <w:t xml:space="preserve">All practice materials are synthetic. Use the compact capstone template below. If a student team has its own capstone, its frozen rules replace these practice values.</w:t>
      </w:r>
    </w:p>
    <w:p>
      <w:pPr>
        <w:pStyle w:val="Compact"/>
        <w:numPr>
          <w:ilvl w:val="0"/>
          <w:numId w:val="1013"/>
        </w:numPr>
      </w:pPr>
      <w:r>
        <w:t xml:space="preserve">Lower risk is better. Define model-risk difference as</w:t>
      </w:r>
      <w:r>
        <w:t xml:space="preserve"> </w:t>
      </w:r>
      <m:oMath>
        <m:sSub>
          <m:e>
            <m:r>
              <m:rPr>
                <m:sty m:val="p"/>
              </m:rPr>
              <m:t>Δ</m:t>
            </m:r>
          </m:e>
          <m:sub>
            <m:r>
              <m:t>R</m:t>
            </m:r>
          </m:sub>
        </m:sSub>
        <m:r>
          <m:rPr>
            <m:sty m:val="p"/>
          </m:rPr>
          <m:t>=</m:t>
        </m:r>
        <m:sSub>
          <m:e>
            <m:r>
              <m:t>R</m:t>
            </m:r>
          </m:e>
          <m:sub>
            <m:r>
              <m:rPr>
                <m:sty m:val="p"/>
              </m:rPr>
              <m:t>r</m:t>
            </m:r>
            <m:r>
              <m:rPr>
                <m:sty m:val="p"/>
              </m:rPr>
              <m:t>i</m:t>
            </m:r>
            <m:r>
              <m:rPr>
                <m:sty m:val="p"/>
              </m:rPr>
              <m:t>v</m:t>
            </m:r>
            <m:r>
              <m:rPr>
                <m:sty m:val="p"/>
              </m:rPr>
              <m:t>a</m:t>
            </m:r>
            <m:r>
              <m:rPr>
                <m:sty m:val="p"/>
              </m:rPr>
              <m:t>l</m:t>
            </m:r>
          </m:sub>
        </m:sSub>
        <m:r>
          <m:rPr>
            <m:sty m:val="p"/>
          </m:rPr>
          <m:t>−</m:t>
        </m:r>
        <m:sSub>
          <m:e>
            <m:r>
              <m:t>R</m:t>
            </m:r>
          </m:e>
          <m:sub>
            <m:r>
              <m:rPr>
                <m:sty m:val="p"/>
              </m:rPr>
              <m:t>f</m:t>
            </m:r>
            <m:r>
              <m:rPr>
                <m:sty m:val="p"/>
              </m:rPr>
              <m:t>u</m:t>
            </m:r>
            <m:r>
              <m:rPr>
                <m:sty m:val="p"/>
              </m:rPr>
              <m:t>l</m:t>
            </m:r>
            <m:r>
              <m:rPr>
                <m:sty m:val="p"/>
              </m:rPr>
              <m:t>l</m:t>
            </m:r>
          </m:sub>
        </m:sSub>
      </m:oMath>
      <w:r>
        <w:t xml:space="preserve"> </w:t>
      </w:r>
      <w:r>
        <w:t xml:space="preserve">and the minimum meaningful difference as</w:t>
      </w:r>
      <w:r>
        <w:t xml:space="preserve"> </w:t>
      </w:r>
      <m:oMath>
        <m:r>
          <m:t>.05</m:t>
        </m:r>
      </m:oMath>
      <w:r>
        <w:t xml:space="preserve">.</w:t>
      </w:r>
    </w:p>
    <w:p>
      <w:pPr>
        <w:pStyle w:val="Compact"/>
        <w:numPr>
          <w:ilvl w:val="0"/>
          <w:numId w:val="1013"/>
        </w:numPr>
      </w:pPr>
      <w:r>
        <w:t xml:space="preserve">Adequate diagnostic coverage: at least</w:t>
      </w:r>
      <w:r>
        <w:t xml:space="preserve"> </w:t>
      </w:r>
      <m:oMath>
        <m:r>
          <m:t>.20</m:t>
        </m:r>
      </m:oMath>
      <w:r>
        <w:t xml:space="preserve"> </w:t>
      </w:r>
      <w:r>
        <w:t xml:space="preserve">of the target distribution.</w:t>
      </w:r>
    </w:p>
    <w:p>
      <w:pPr>
        <w:pStyle w:val="Compact"/>
        <w:numPr>
          <w:ilvl w:val="0"/>
          <w:numId w:val="1013"/>
        </w:numPr>
      </w:pPr>
      <w:r>
        <w:rPr>
          <w:b/>
          <w:bCs/>
        </w:rPr>
        <w:t xml:space="preserve">Full-model criterion support:</w:t>
      </w:r>
      <w:r>
        <w:t xml:space="preserve"> </w:t>
      </w:r>
      <w:r>
        <w:t xml:space="preserve">every license passes, coverage is at least</w:t>
      </w:r>
      <w:r>
        <w:t xml:space="preserve"> </w:t>
      </w:r>
      <m:oMath>
        <m:r>
          <m:t>.20</m:t>
        </m:r>
      </m:oMath>
      <w:r>
        <w:t xml:space="preserve">, and</w:t>
      </w:r>
      <w:r>
        <w:t xml:space="preserve"> </w:t>
      </w:r>
      <m:oMath>
        <m:r>
          <m:rPr>
            <m:sty m:val="p"/>
          </m:rPr>
          <m:t>LB</m:t>
        </m:r>
        <m:r>
          <m:rPr>
            <m:sty m:val="p"/>
          </m:rPr>
          <m:t>(</m:t>
        </m:r>
        <m:sSub>
          <m:e>
            <m:r>
              <m:rPr>
                <m:sty m:val="p"/>
              </m:rPr>
              <m:t>Δ</m:t>
            </m:r>
          </m:e>
          <m:sub>
            <m:r>
              <m:t>R</m:t>
            </m:r>
          </m:sub>
        </m:sSub>
        <m:r>
          <m:rPr>
            <m:sty m:val="p"/>
          </m:rPr>
          <m:t>)</m:t>
        </m:r>
        <m:r>
          <m:rPr>
            <m:sty m:val="p"/>
          </m:rPr>
          <m:t>&gt;</m:t>
        </m:r>
        <m:r>
          <m:t>.05</m:t>
        </m:r>
      </m:oMath>
      <w:r>
        <w:t xml:space="preserve">.</w:t>
      </w:r>
    </w:p>
    <w:p>
      <w:pPr>
        <w:pStyle w:val="Compact"/>
        <w:numPr>
          <w:ilvl w:val="0"/>
          <w:numId w:val="1013"/>
        </w:numPr>
      </w:pPr>
      <w:r>
        <w:rPr>
          <w:b/>
          <w:bCs/>
        </w:rPr>
        <w:t xml:space="preserve">Equivalence or redundancy:</w:t>
      </w:r>
      <w:r>
        <w:t xml:space="preserve"> </w:t>
      </w:r>
      <w:r>
        <w:t xml:space="preserve">every applicable license passes, coverage is at least</w:t>
      </w:r>
      <w:r>
        <w:t xml:space="preserve"> </w:t>
      </w:r>
      <m:oMath>
        <m:r>
          <m:t>.20</m:t>
        </m:r>
      </m:oMath>
      <w:r>
        <w:t xml:space="preserve">, the complete interval for</w:t>
      </w:r>
      <w:r>
        <w:t xml:space="preserve"> </w:t>
      </w:r>
      <m:oMath>
        <m:sSub>
          <m:e>
            <m:r>
              <m:rPr>
                <m:sty m:val="p"/>
              </m:rPr>
              <m:t>Δ</m:t>
            </m:r>
          </m:e>
          <m:sub>
            <m:r>
              <m:t>R</m:t>
            </m:r>
          </m:sub>
        </m:sSub>
      </m:oMath>
      <w:r>
        <w:t xml:space="preserve"> </w:t>
      </w:r>
      <w:r>
        <w:t xml:space="preserve">is contained in the closed margin</w:t>
      </w:r>
      <w:r>
        <w:t xml:space="preserve"> </w:t>
      </w:r>
      <m:oMath>
        <m:r>
          <m:rPr>
            <m:sty m:val="p"/>
          </m:rPr>
          <m:t>[</m:t>
        </m:r>
        <m:r>
          <m:rPr>
            <m:sty m:val="p"/>
          </m:rPr>
          <m:t>−</m:t>
        </m:r>
        <m:r>
          <m:t>.05</m:t>
        </m:r>
        <m:r>
          <m:rPr>
            <m:sty m:val="p"/>
          </m:rPr>
          <m:t>,</m:t>
        </m:r>
        <m:r>
          <m:t>.05</m:t>
        </m:r>
        <m:r>
          <m:rPr>
            <m:sty m:val="p"/>
          </m:rPr>
          <m:t>]</m:t>
        </m:r>
      </m:oMath>
      <w:r>
        <w:t xml:space="preserve">, retained-component and sensitivity checks pass, model flexibility is matched, transport is matched when a cross-domain claim is made, and no compensatory retuning occurs.</w:t>
      </w:r>
    </w:p>
    <w:p>
      <w:pPr>
        <w:pStyle w:val="Compact"/>
        <w:numPr>
          <w:ilvl w:val="0"/>
          <w:numId w:val="1013"/>
        </w:numPr>
      </w:pPr>
      <w:r>
        <w:rPr>
          <w:b/>
          <w:bCs/>
        </w:rPr>
        <w:t xml:space="preserve">Rival-favoring:</w:t>
      </w:r>
      <w:r>
        <w:t xml:space="preserve"> </w:t>
      </w:r>
      <w:r>
        <w:t xml:space="preserve">every applicable license passes, coverage is at least</w:t>
      </w:r>
      <w:r>
        <w:t xml:space="preserve"> </w:t>
      </w:r>
      <m:oMath>
        <m:r>
          <m:t>.20</m:t>
        </m:r>
      </m:oMath>
      <w:r>
        <w:t xml:space="preserve"> </w:t>
      </w:r>
      <w:r>
        <w:t xml:space="preserve">for a population-scope conclusion, and</w:t>
      </w:r>
      <w:r>
        <w:t xml:space="preserve"> </w:t>
      </w:r>
      <m:oMath>
        <m:r>
          <m:rPr>
            <m:sty m:val="p"/>
          </m:rPr>
          <m:t>UB</m:t>
        </m:r>
        <m:r>
          <m:rPr>
            <m:sty m:val="p"/>
          </m:rPr>
          <m:t>(</m:t>
        </m:r>
        <m:sSub>
          <m:e>
            <m:r>
              <m:rPr>
                <m:sty m:val="p"/>
              </m:rPr>
              <m:t>Δ</m:t>
            </m:r>
          </m:e>
          <m:sub>
            <m:r>
              <m:t>R</m:t>
            </m:r>
          </m:sub>
        </m:sSub>
        <m:r>
          <m:rPr>
            <m:sty m:val="p"/>
          </m:rPr>
          <m:t>)</m:t>
        </m:r>
        <m:r>
          <m:rPr>
            <m:sty m:val="p"/>
          </m:rPr>
          <m:t>&lt;</m:t>
        </m:r>
        <m:r>
          <m:rPr>
            <m:sty m:val="p"/>
          </m:rPr>
          <m:t>−</m:t>
        </m:r>
        <m:r>
          <m:t>.05</m:t>
        </m:r>
      </m:oMath>
      <w:r>
        <w:t xml:space="preserve">.</w:t>
      </w:r>
    </w:p>
    <w:p>
      <w:pPr>
        <w:pStyle w:val="Compact"/>
        <w:numPr>
          <w:ilvl w:val="0"/>
          <w:numId w:val="1013"/>
        </w:numPr>
      </w:pPr>
      <w:r>
        <w:rPr>
          <w:b/>
          <w:bCs/>
        </w:rPr>
        <w:t xml:space="preserve">Indeterminate:</w:t>
      </w:r>
      <w:r>
        <w:t xml:space="preserve"> </w:t>
      </w:r>
      <w:r>
        <w:t xml:space="preserve">the interval crosses or touches a decision boundary, credible anchors conflict, or coverage is inadequate for the declared population scope. In particular, equality of the relevant bound at</w:t>
      </w:r>
      <w:r>
        <w:t xml:space="preserve"> </w:t>
      </w:r>
      <m:oMath>
        <m:r>
          <m:rPr>
            <m:sty m:val="p"/>
          </m:rPr>
          <m:t>+</m:t>
        </m:r>
        <m:r>
          <m:t>.05</m:t>
        </m:r>
      </m:oMath>
      <w:r>
        <w:t xml:space="preserve"> </w:t>
      </w:r>
      <w:r>
        <w:t xml:space="preserve">or</w:t>
      </w:r>
      <w:r>
        <w:t xml:space="preserve"> </w:t>
      </w:r>
      <m:oMath>
        <m:r>
          <m:rPr>
            <m:sty m:val="p"/>
          </m:rPr>
          <m:t>−</m:t>
        </m:r>
        <m:r>
          <m:t>.05</m:t>
        </m:r>
      </m:oMath>
      <w:r>
        <w:t xml:space="preserve"> </w:t>
      </w:r>
      <w:r>
        <w:t xml:space="preserve">is indeterminate under these strict meaningful-effect rules. A low-coverage effect may be described locally but cannot support a broad full-model or rival-favoring conclusion.</w:t>
      </w:r>
    </w:p>
    <w:p>
      <w:pPr>
        <w:pStyle w:val="Compact"/>
        <w:numPr>
          <w:ilvl w:val="0"/>
          <w:numId w:val="1013"/>
        </w:numPr>
      </w:pPr>
      <w:r>
        <w:rPr>
          <w:b/>
          <w:bCs/>
        </w:rPr>
        <w:t xml:space="preserve">Unlicensed:</w:t>
      </w:r>
      <w:r>
        <w:t xml:space="preserve"> </w:t>
      </w:r>
      <w:r>
        <w:t xml:space="preserve">referent/boundary, applicability, quality, independence, intervention selectivity, or, when a cross-domain claim is made, transport fails before risk adjudication.</w:t>
      </w:r>
    </w:p>
    <w:p>
      <w:pPr>
        <w:pStyle w:val="Compact"/>
        <w:numPr>
          <w:ilvl w:val="0"/>
          <w:numId w:val="1013"/>
        </w:numPr>
      </w:pPr>
      <w:r>
        <w:t xml:space="preserve">Retained-component equivalence requires each complete paired-change interval to be contained in the closed margin</w:t>
      </w:r>
      <w:r>
        <w:t xml:space="preserve"> </w:t>
      </w:r>
      <m:oMath>
        <m:r>
          <m:rPr>
            <m:sty m:val="p"/>
          </m:rPr>
          <m:t>[</m:t>
        </m:r>
        <m:r>
          <m:rPr>
            <m:sty m:val="p"/>
          </m:rPr>
          <m:t>−</m:t>
        </m:r>
        <m:r>
          <m:t>.08</m:t>
        </m:r>
        <m:r>
          <m:rPr>
            <m:sty m:val="p"/>
          </m:rPr>
          <m:t>,</m:t>
        </m:r>
        <m:r>
          <m:t>.08</m:t>
        </m:r>
        <m:r>
          <m:rPr>
            <m:sty m:val="p"/>
          </m:rPr>
          <m:t>]</m:t>
        </m:r>
      </m:oMath>
      <w:r>
        <w:t xml:space="preserve">; a point estimate is insufficient.</w:t>
      </w:r>
    </w:p>
    <w:p>
      <w:pPr>
        <w:pStyle w:val="Compact"/>
        <w:numPr>
          <w:ilvl w:val="0"/>
          <w:numId w:val="1013"/>
        </w:numPr>
      </w:pPr>
      <w:r>
        <w:t xml:space="preserve">Boundary stability passes when its lower bound meets or exceeds</w:t>
      </w:r>
      <w:r>
        <w:t xml:space="preserve"> </w:t>
      </w:r>
      <m:oMath>
        <m:r>
          <m:t>.80</m:t>
        </m:r>
      </m:oMath>
      <w:r>
        <w:t xml:space="preserve">. Any card that supplies only a point value stipulates it as an exact teaching value.</w:t>
      </w:r>
    </w:p>
    <w:p>
      <w:pPr>
        <w:pStyle w:val="Compact"/>
        <w:numPr>
          <w:ilvl w:val="0"/>
          <w:numId w:val="1013"/>
        </w:numPr>
      </w:pPr>
      <w:r>
        <w:t xml:space="preserve">Credible anchor conflict: nonoverlapping intervals and point-estimate difference greater than</w:t>
      </w:r>
      <w:r>
        <w:t xml:space="preserve"> </w:t>
      </w:r>
      <m:oMath>
        <m:r>
          <m:t>.15</m:t>
        </m:r>
      </m:oMath>
      <w:r>
        <w:t xml:space="preserve">.</w:t>
      </w:r>
    </w:p>
    <w:p>
      <w:pPr>
        <w:pStyle w:val="Compact"/>
        <w:numPr>
          <w:ilvl w:val="0"/>
          <w:numId w:val="1013"/>
        </w:numPr>
      </w:pPr>
      <w:r>
        <w:t xml:space="preserve">Credible anchor conflict has precedence over averaging and over the risk-difference rules.</w:t>
      </w:r>
    </w:p>
    <w:p>
      <w:pPr>
        <w:pStyle w:val="Compact"/>
        <w:numPr>
          <w:ilvl w:val="0"/>
          <w:numId w:val="1013"/>
        </w:numPr>
      </w:pPr>
      <w:r>
        <w:t xml:space="preserve">When a cross-domain claim is made, transport requires construct, causal-role, calibration, and boundary preservation. A source-domain audit is not unlicensed merely because transport was not attempted.</w:t>
      </w:r>
    </w:p>
    <w:bookmarkEnd w:id="59"/>
    <w:bookmarkStart w:id="60" w:name="synthetic-starter-protocol"/>
    <w:p>
      <w:pPr>
        <w:pStyle w:val="Heading3"/>
      </w:pPr>
      <w:r>
        <w:t xml:space="preserve">Synthetic Starter Protocol</w:t>
      </w:r>
    </w:p>
    <w:p>
      <w:pPr>
        <w:pStyle w:val="FirstParagraph"/>
      </w:pPr>
      <w:r>
        <w:t xml:space="preserve">Target: minimal phenomenal presence of one auditory content from 120-240 ms in a frozen recurrent preparation. Full model:</w:t>
      </w:r>
      <w:r>
        <w:t xml:space="preserve"> </w:t>
      </w:r>
      <m:oMath>
        <m:r>
          <m:t>V</m:t>
        </m:r>
        <m:r>
          <m:rPr>
            <m:sty m:val="p"/>
          </m:rPr>
          <m:t>,</m:t>
        </m:r>
        <m:sSub>
          <m:e>
            <m:r>
              <m:t>N</m:t>
            </m:r>
          </m:e>
          <m:sub>
            <m:r>
              <m:t>1</m:t>
            </m:r>
          </m:sub>
        </m:sSub>
        <m:r>
          <m:rPr>
            <m:sty m:val="p"/>
          </m:rPr>
          <m:t>,</m:t>
        </m:r>
        <m:sSub>
          <m:e>
            <m:r>
              <m:t>N</m:t>
            </m:r>
          </m:e>
          <m:sub>
            <m:r>
              <m:t>2</m:t>
            </m:r>
          </m:sub>
        </m:sSub>
        <m:r>
          <m:rPr>
            <m:sty m:val="p"/>
          </m:rPr>
          <m:t>,</m:t>
        </m:r>
        <m:sSub>
          <m:e>
            <m:r>
              <m:t>N</m:t>
            </m:r>
          </m:e>
          <m:sub>
            <m:r>
              <m:t>3</m:t>
            </m:r>
          </m:sub>
        </m:sSub>
      </m:oMath>
      <w:r>
        <w:t xml:space="preserve"> </w:t>
      </w:r>
      <w:r>
        <w:t xml:space="preserve">are jointly required. Rival: a duration-matched model omits recurrence topology while retaining</w:t>
      </w:r>
      <w:r>
        <w:t xml:space="preserve"> </w:t>
      </w:r>
      <m:oMath>
        <m:r>
          <m:t>V</m:t>
        </m:r>
        <m:r>
          <m:rPr>
            <m:sty m:val="p"/>
          </m:rPr>
          <m:t>,</m:t>
        </m:r>
        <m:sSub>
          <m:e>
            <m:r>
              <m:t>N</m:t>
            </m:r>
          </m:e>
          <m:sub>
            <m:r>
              <m:t>1</m:t>
            </m:r>
          </m:sub>
        </m:sSub>
        <m:r>
          <m:rPr>
            <m:sty m:val="p"/>
          </m:rPr>
          <m:t>,</m:t>
        </m:r>
        <m:sSub>
          <m:e>
            <m:r>
              <m:t>N</m:t>
            </m:r>
          </m:e>
          <m:sub>
            <m:r>
              <m:t>2</m:t>
            </m:r>
          </m:sub>
        </m:sSub>
      </m:oMath>
      <w:r>
        <w:t xml:space="preserve">. Diagnostic contrast: selective return-path interruption with content fidelity and retained components equivalent. Primary anchor: held-out perturbational discrimination vector sharing no sensor, feature, or route with the</w:t>
      </w:r>
      <w:r>
        <w:t xml:space="preserve"> </w:t>
      </w:r>
      <m:oMath>
        <m:sSub>
          <m:e>
            <m:r>
              <m:t>N</m:t>
            </m:r>
          </m:e>
          <m:sub>
            <m:r>
              <m:t>3</m:t>
            </m:r>
          </m:sub>
        </m:sSub>
      </m:oMath>
      <w:r>
        <w:t xml:space="preserve"> </w:t>
      </w:r>
      <w:r>
        <w:t xml:space="preserve">measure. Negative control: late report-path interruption. Rescue: pathway-specific feedback restoration.</w:t>
      </w:r>
    </w:p>
    <w:p>
      <w:pPr>
        <w:pStyle w:val="BodyText"/>
      </w:pPr>
      <w:r>
        <w:rPr>
          <w:b/>
          <w:bCs/>
        </w:rPr>
        <w:t xml:space="preserve">Core studio task:</w:t>
      </w:r>
      <w:r>
        <w:t xml:space="preserve"> </w:t>
      </w:r>
      <w:r>
        <w:t xml:space="preserve">Complete only these minimum fields before red-team review: target and exclusion; exact rival predictions; diagnostic cell; candidate, regime, and interval; intervention and retained-gate checks; primary anchor and prohibited dual use; one negative control; and the outcome-to-revision table.</w:t>
      </w:r>
    </w:p>
    <w:tbl>
      <w:tblPr>
        <w:tblStyle w:val="Table"/>
        <w:tblW w:type="dxa" w:w="9994"/>
        <w:jc w:val="center"/>
        <w:tblLayout w:type="fixed"/>
        <w:tblLook w:firstRow="1" w:lastRow="0" w:firstColumn="0" w:lastColumn="0" w:noHBand="0" w:noVBand="0" w:val="0020"/>
      </w:tblPr>
      <w:tblGrid>
        <w:gridCol w:w="4197"/>
        <w:gridCol w:w="5797"/>
      </w:tblGrid>
      <w:tr>
        <w:trPr>
          <w:tblHeader w:val="on"/>
          <w:cantSplit/>
        </w:trPr>
        <w:tc>
          <w:tcPr>
            <w:tcW w:w="4197"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Compact capstone field</w:t>
            </w:r>
          </w:p>
        </w:tc>
        <w:tc>
          <w:tcPr>
            <w:tcW w:w="5797" w:type="dxa"/>
            <w:vAlign w:val="center"/>
            <w:tcMar>
              <w:top w:w="70" w:type="dxa"/>
              <w:bottom w:w="70" w:type="dxa"/>
              <w:start w:w="85" w:type="dxa"/>
              <w:end w:w="85" w:type="dxa"/>
            </w:tcMar>
            <w:shd w:fill="1B344C" w:val="clear"/>
          </w:tcPr>
          <w:p>
            <w:pPr>
              <w:pStyle w:val="Compact"/>
              <w:spacing w:before="0" w:after="40" w:line="240" w:lineRule="auto"/>
            </w:pPr>
            <w:r>
              <w:rPr>
                <w:rFonts w:ascii="Liberation Sans" w:hAnsi="Liberation Sans" w:eastAsia="Liberation Sans" w:cs="Liberation Sans"/>
                <w:b/>
                <w:color w:val="FFFFFF"/>
                <w:sz w:val="18"/>
              </w:rPr>
              <w:t xml:space="preserve">Frozen team entry</w:t>
            </w:r>
          </w:p>
        </w:tc>
      </w:tr>
      <w:tr>
        <w:trPr>
          <w:cantSplit/>
        </w:trPr>
        <w:tc>
          <w:tcPr>
            <w:tcW w:w="4197"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Exact target, exclusions, candidate, regime, interval</w:t>
            </w:r>
          </w:p>
        </w:tc>
        <w:tc>
          <w:tcPr>
            <w:tcW w:w="5797" w:type="dxa"/>
            <w:vAlign w:val="center"/>
            <w:tcMar>
              <w:top w:w="70" w:type="dxa"/>
              <w:bottom w:w="70" w:type="dxa"/>
              <w:start w:w="85" w:type="dxa"/>
              <w:end w:w="85" w:type="dxa"/>
            </w:tcMar>
            <w:shd w:fill="FFFFFF" w:val="clear"/>
          </w:tcPr>
          <w:p>
            <w:pPr>
              <w:pStyle w:val="Compact"/>
              <w:spacing w:before="0" w:after="40" w:line="240" w:lineRule="auto"/>
            </w:pPr>
          </w:p>
        </w:tc>
      </w:tr>
      <w:tr>
        <w:trPr>
          <w:cantSplit/>
        </w:trPr>
        <w:tc>
          <w:tcPr>
            <w:tcW w:w="4197"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Exact full-model and rival versions</w:t>
            </w:r>
          </w:p>
        </w:tc>
        <w:tc>
          <w:tcPr>
            <w:tcW w:w="5797" w:type="dxa"/>
            <w:vAlign w:val="center"/>
            <w:tcMar>
              <w:top w:w="70" w:type="dxa"/>
              <w:bottom w:w="70" w:type="dxa"/>
              <w:start w:w="85" w:type="dxa"/>
              <w:end w:w="85" w:type="dxa"/>
            </w:tcMar>
            <w:shd w:fill="F4F6F7" w:val="clear"/>
          </w:tcPr>
          <w:p>
            <w:pPr>
              <w:pStyle w:val="Compact"/>
              <w:spacing w:before="0" w:after="40" w:line="240" w:lineRule="auto"/>
            </w:pPr>
          </w:p>
        </w:tc>
      </w:tr>
      <w:tr>
        <w:trPr>
          <w:cantSplit/>
        </w:trPr>
        <w:tc>
          <w:tcPr>
            <w:tcW w:w="4197"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Ordinary agreement region and diagnostic contrast</w:t>
            </w:r>
          </w:p>
        </w:tc>
        <w:tc>
          <w:tcPr>
            <w:tcW w:w="5797" w:type="dxa"/>
            <w:vAlign w:val="center"/>
            <w:tcMar>
              <w:top w:w="70" w:type="dxa"/>
              <w:bottom w:w="70" w:type="dxa"/>
              <w:start w:w="85" w:type="dxa"/>
              <w:end w:w="85" w:type="dxa"/>
            </w:tcMar>
            <w:shd w:fill="FFFFFF" w:val="clear"/>
          </w:tcPr>
          <w:p>
            <w:pPr>
              <w:pStyle w:val="Compact"/>
              <w:spacing w:before="0" w:after="40" w:line="240" w:lineRule="auto"/>
            </w:pPr>
          </w:p>
        </w:tc>
      </w:tr>
      <w:tr>
        <w:trPr>
          <w:cantSplit/>
        </w:trPr>
        <w:tc>
          <w:tcPr>
            <w:tcW w:w="4197"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Candidate proposal; frozen</w:t>
            </w:r>
            <w:r>
              <w:rPr>
                <w:rFonts w:ascii="Liberation Sans" w:hAnsi="Liberation Sans" w:eastAsia="Liberation Sans" w:cs="Liberation Sans"/>
                <w:color w:val="232A30"/>
                <w:sz w:val="18"/>
              </w:rPr>
              <w:t xml:space="preserve"> </w:t>
            </w:r>
            <m:oMath>
              <m:sSub>
                <m:e>
                  <m:r>
                    <m:rPr>
                      <m:scr m:val="script"/>
                      <m:sty m:val="p"/>
                    </m:rPr>
                    <w:rPr>
                      <w:sz w:val="18"/>
                      <w:szCs w:val="18"/>
                      <w:color w:val="232A30"/>
                    </w:rPr>
                    <m:t>P</m:t>
                  </m:r>
                </m:e>
                <m:sub>
                  <m:r>
                    <m:rPr>
                      <m:sty m:val="p"/>
                    </m:rPr>
                    <w:rPr>
                      <w:sz w:val="18"/>
                      <w:szCs w:val="18"/>
                      <w:color w:val="232A30"/>
                    </w:rPr>
                    <m:t>Θ</m:t>
                  </m:r>
                </m:sub>
              </m:sSub>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stability; post-result</w:t>
            </w:r>
            <w:r>
              <w:rPr>
                <w:rFonts w:ascii="Liberation Sans" w:hAnsi="Liberation Sans" w:eastAsia="Liberation Sans" w:cs="Liberation Sans"/>
                <w:color w:val="232A30"/>
                <w:sz w:val="18"/>
              </w:rPr>
              <w:t xml:space="preserve"> </w:t>
            </w:r>
            <m:oMath>
              <m:sSup>
                <m:e>
                  <m:r>
                    <m:rPr>
                      <m:scr m:val="script"/>
                      <m:sty m:val="p"/>
                    </m:rPr>
                    <w:rPr>
                      <w:sz w:val="18"/>
                      <w:szCs w:val="18"/>
                      <w:color w:val="232A30"/>
                    </w:rPr>
                    <m:t>B</m:t>
                  </m:r>
                </m:e>
                <m:sup>
                  <m:r>
                    <m:rPr>
                      <m:sty m:val="p"/>
                    </m:rPr>
                    <w:rPr>
                      <w:sz w:val="18"/>
                      <w:szCs w:val="18"/>
                      <w:color w:val="232A30"/>
                    </w:rPr>
                    <m:t>+</m:t>
                  </m:r>
                </m:sup>
              </m:sSup>
            </m:oMath>
            <w:r>
              <w:rPr>
                <w:rFonts w:ascii="Liberation Sans" w:hAnsi="Liberation Sans" w:eastAsia="Liberation Sans" w:cs="Liberation Sans"/>
                <w:color w:val="232A30"/>
                <w:sz w:val="18"/>
              </w:rPr>
              <w:t xml:space="preserve"> </w:t>
            </w:r>
            <w:r>
              <w:rPr>
                <w:rFonts w:ascii="Liberation Sans" w:hAnsi="Liberation Sans" w:eastAsia="Liberation Sans" w:cs="Liberation Sans"/>
                <w:color w:val="232A30"/>
                <w:sz w:val="18"/>
              </w:rPr>
              <w:t xml:space="preserve">recomputation</w:t>
            </w:r>
          </w:p>
        </w:tc>
        <w:tc>
          <w:tcPr>
            <w:tcW w:w="5797" w:type="dxa"/>
            <w:vAlign w:val="center"/>
            <w:tcMar>
              <w:top w:w="70" w:type="dxa"/>
              <w:bottom w:w="70" w:type="dxa"/>
              <w:start w:w="85" w:type="dxa"/>
              <w:end w:w="85" w:type="dxa"/>
            </w:tcMar>
            <w:shd w:fill="F4F6F7" w:val="clear"/>
          </w:tcPr>
          <w:p>
            <w:pPr>
              <w:pStyle w:val="Compact"/>
              <w:spacing w:before="0" w:after="40" w:line="240" w:lineRule="auto"/>
            </w:pPr>
          </w:p>
        </w:tc>
      </w:tr>
      <w:tr>
        <w:trPr>
          <w:cantSplit/>
        </w:trPr>
        <w:tc>
          <w:tcPr>
            <w:tcW w:w="4197"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Manipulation, retained-component equivalence, rescue</w:t>
            </w:r>
          </w:p>
        </w:tc>
        <w:tc>
          <w:tcPr>
            <w:tcW w:w="5797" w:type="dxa"/>
            <w:vAlign w:val="center"/>
            <w:tcMar>
              <w:top w:w="70" w:type="dxa"/>
              <w:bottom w:w="70" w:type="dxa"/>
              <w:start w:w="85" w:type="dxa"/>
              <w:end w:w="85" w:type="dxa"/>
            </w:tcMar>
            <w:shd w:fill="FFFFFF" w:val="clear"/>
          </w:tcPr>
          <w:p>
            <w:pPr>
              <w:pStyle w:val="Compact"/>
              <w:spacing w:before="0" w:after="40" w:line="240" w:lineRule="auto"/>
            </w:pPr>
          </w:p>
        </w:tc>
      </w:tr>
      <w:tr>
        <w:trPr>
          <w:cantSplit/>
        </w:trPr>
        <w:tc>
          <w:tcPr>
            <w:tcW w:w="4197"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Anchor vector and independence firewall</w:t>
            </w:r>
          </w:p>
        </w:tc>
        <w:tc>
          <w:tcPr>
            <w:tcW w:w="5797" w:type="dxa"/>
            <w:vAlign w:val="center"/>
            <w:tcMar>
              <w:top w:w="70" w:type="dxa"/>
              <w:bottom w:w="70" w:type="dxa"/>
              <w:start w:w="85" w:type="dxa"/>
              <w:end w:w="85" w:type="dxa"/>
            </w:tcMar>
            <w:shd w:fill="F4F6F7" w:val="clear"/>
          </w:tcPr>
          <w:p>
            <w:pPr>
              <w:pStyle w:val="Compact"/>
              <w:spacing w:before="0" w:after="40" w:line="240" w:lineRule="auto"/>
            </w:pPr>
          </w:p>
        </w:tc>
      </w:tr>
      <w:tr>
        <w:trPr>
          <w:cantSplit/>
        </w:trPr>
        <w:tc>
          <w:tcPr>
            <w:tcW w:w="4197"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Component-audit disposition: full-model supported, equivalent/redundant, rival-favoring, indeterminate, or unlicensed</w:t>
            </w:r>
          </w:p>
        </w:tc>
        <w:tc>
          <w:tcPr>
            <w:tcW w:w="5797" w:type="dxa"/>
            <w:vAlign w:val="center"/>
            <w:tcMar>
              <w:top w:w="70" w:type="dxa"/>
              <w:bottom w:w="70" w:type="dxa"/>
              <w:start w:w="85" w:type="dxa"/>
              <w:end w:w="85" w:type="dxa"/>
            </w:tcMar>
            <w:shd w:fill="FFFFFF" w:val="clear"/>
          </w:tcPr>
          <w:p>
            <w:pPr>
              <w:pStyle w:val="Compact"/>
              <w:spacing w:before="0" w:after="40" w:line="240" w:lineRule="auto"/>
            </w:pPr>
          </w:p>
        </w:tc>
      </w:tr>
      <w:tr>
        <w:trPr>
          <w:cantSplit/>
        </w:trPr>
        <w:tc>
          <w:tcPr>
            <w:tcW w:w="4197"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Separate presence-classification rule, if the study also classifies a candidate: positive, negative, indeterminate, or unlicensed</w:t>
            </w:r>
          </w:p>
        </w:tc>
        <w:tc>
          <w:tcPr>
            <w:tcW w:w="5797" w:type="dxa"/>
            <w:vAlign w:val="center"/>
            <w:tcMar>
              <w:top w:w="70" w:type="dxa"/>
              <w:bottom w:w="70" w:type="dxa"/>
              <w:start w:w="85" w:type="dxa"/>
              <w:end w:w="85" w:type="dxa"/>
            </w:tcMar>
            <w:shd w:fill="F4F6F7" w:val="clear"/>
          </w:tcPr>
          <w:p>
            <w:pPr>
              <w:pStyle w:val="Compact"/>
              <w:spacing w:before="0" w:after="40" w:line="240" w:lineRule="auto"/>
            </w:pPr>
          </w:p>
        </w:tc>
      </w:tr>
      <w:tr>
        <w:trPr>
          <w:cantSplit/>
        </w:trPr>
        <w:tc>
          <w:tcPr>
            <w:tcW w:w="4197" w:type="dxa"/>
            <w:vAlign w:val="center"/>
            <w:tcMar>
              <w:top w:w="70" w:type="dxa"/>
              <w:bottom w:w="70" w:type="dxa"/>
              <w:start w:w="85" w:type="dxa"/>
              <w:end w:w="85" w:type="dxa"/>
            </w:tcMar>
            <w:shd w:fill="FFFFFF" w:val="clear"/>
          </w:tcPr>
          <w:p>
            <w:pPr>
              <w:pStyle w:val="Compact"/>
              <w:spacing w:before="0" w:after="40" w:line="240" w:lineRule="auto"/>
            </w:pPr>
            <w:r>
              <w:rPr>
                <w:rFonts w:ascii="Liberation Sans" w:hAnsi="Liberation Sans" w:eastAsia="Liberation Sans" w:cs="Liberation Sans"/>
                <w:color w:val="232A30"/>
                <w:sz w:val="18"/>
              </w:rPr>
              <w:t xml:space="preserve">Result-to-revision commitments for both accounts</w:t>
            </w:r>
          </w:p>
        </w:tc>
        <w:tc>
          <w:tcPr>
            <w:tcW w:w="5797" w:type="dxa"/>
            <w:vAlign w:val="center"/>
            <w:tcMar>
              <w:top w:w="70" w:type="dxa"/>
              <w:bottom w:w="70" w:type="dxa"/>
              <w:start w:w="85" w:type="dxa"/>
              <w:end w:w="85" w:type="dxa"/>
            </w:tcMar>
            <w:shd w:fill="FFFFFF" w:val="clear"/>
          </w:tcPr>
          <w:p>
            <w:pPr>
              <w:pStyle w:val="Compact"/>
              <w:spacing w:before="0" w:after="40" w:line="240" w:lineRule="auto"/>
            </w:pPr>
          </w:p>
        </w:tc>
      </w:tr>
      <w:tr>
        <w:trPr>
          <w:cantSplit/>
        </w:trPr>
        <w:tc>
          <w:tcPr>
            <w:tcW w:w="4197" w:type="dxa"/>
            <w:vAlign w:val="center"/>
            <w:tcMar>
              <w:top w:w="70" w:type="dxa"/>
              <w:bottom w:w="70" w:type="dxa"/>
              <w:start w:w="85" w:type="dxa"/>
              <w:end w:w="85" w:type="dxa"/>
            </w:tcMar>
            <w:shd w:fill="F4F6F7" w:val="clear"/>
          </w:tcPr>
          <w:p>
            <w:pPr>
              <w:pStyle w:val="Compact"/>
              <w:spacing w:before="0" w:after="40" w:line="240" w:lineRule="auto"/>
            </w:pPr>
            <w:r>
              <w:rPr>
                <w:rFonts w:ascii="Liberation Sans" w:hAnsi="Liberation Sans" w:eastAsia="Liberation Sans" w:cs="Liberation Sans"/>
                <w:color w:val="232A30"/>
                <w:sz w:val="18"/>
              </w:rPr>
              <w:t xml:space="preserve">Feasibility, ethics, data, and stopping rule</w:t>
            </w:r>
          </w:p>
        </w:tc>
        <w:tc>
          <w:tcPr>
            <w:tcW w:w="5797" w:type="dxa"/>
            <w:vAlign w:val="center"/>
            <w:tcMar>
              <w:top w:w="70" w:type="dxa"/>
              <w:bottom w:w="70" w:type="dxa"/>
              <w:start w:w="85" w:type="dxa"/>
              <w:end w:w="85" w:type="dxa"/>
            </w:tcMar>
            <w:shd w:fill="F4F6F7" w:val="clear"/>
          </w:tcPr>
          <w:p>
            <w:pPr>
              <w:pStyle w:val="Compact"/>
              <w:spacing w:before="0" w:after="40" w:line="240" w:lineRule="auto"/>
            </w:pPr>
          </w:p>
        </w:tc>
      </w:tr>
    </w:tbl>
    <w:p>
      <w:pPr>
        <w:pStyle w:val="BodyText"/>
      </w:pPr>
      <w:r>
        <w:rPr>
          <w:b/>
          <w:bCs/>
        </w:rPr>
        <w:t xml:space="preserve">Extension:</w:t>
      </w:r>
      <w:r>
        <w:t xml:space="preserve"> </w:t>
      </w:r>
      <w:r>
        <w:t xml:space="preserve">add a causal diagram, variable dictionary, simulated-data recovery plan, and team role / dissent charter.</w:t>
      </w:r>
    </w:p>
    <w:p>
      <w:pPr>
        <w:pStyle w:val="BodyText"/>
      </w:pPr>
      <w:r>
        <w:t xml:space="preserve">After the team freezes its rules, the instructor assigns one result card without warning. The tribunal submits three sentences:</w:t>
      </w:r>
      <w:r>
        <w:t xml:space="preserve"> </w:t>
      </w:r>
      <w:r>
        <w:rPr>
          <w:b/>
          <w:bCs/>
        </w:rPr>
        <w:t xml:space="preserve">result</w:t>
      </w:r>
      <w:r>
        <w:t xml:space="preserve">,</w:t>
      </w:r>
      <w:r>
        <w:t xml:space="preserve"> </w:t>
      </w:r>
      <w:r>
        <w:rPr>
          <w:b/>
          <w:bCs/>
        </w:rPr>
        <w:t xml:space="preserve">inference licensed</w:t>
      </w:r>
      <w:r>
        <w:t xml:space="preserve">, and</w:t>
      </w:r>
      <w:r>
        <w:t xml:space="preserve"> </w:t>
      </w:r>
      <w:r>
        <w:rPr>
          <w:b/>
          <w:bCs/>
        </w:rPr>
        <w:t xml:space="preserve">next commitment</w:t>
      </w:r>
      <w:r>
        <w:t xml:space="preserve">.</w:t>
      </w:r>
    </w:p>
    <w:p>
      <w:pPr>
        <w:pStyle w:val="BodyText"/>
      </w:pPr>
      <w:r>
        <w:rPr>
          <w:b/>
          <w:bCs/>
        </w:rPr>
        <w:t xml:space="preserve">Accessible/digital alternative:</w:t>
      </w:r>
      <w:r>
        <w:t xml:space="preserve"> </w:t>
      </w:r>
      <w:r>
        <w:t xml:space="preserve">publish question domains in advance, allow two quiet minutes before answers, and permit a short written supplement. The result tribunal can run asynchronously in a disposition log.</w:t>
      </w:r>
    </w:p>
    <w:bookmarkEnd w:id="60"/>
    <w:bookmarkEnd w:id="61"/>
    <w:bookmarkEnd w:id="62"/>
    <w:sectPr>
      <w:headerReference w:type="default" r:id="rId9"/>
      <w:footerReference w:type="default" r:id="rId10"/>
      <w:headerReference w:type="first" r:id="rId11"/>
      <w:footerReference w:type="first" r:id="rId12"/>
      <w:footnotePr>
        <w:numRestart w:val="eachSect"/>
      </w:footnotePr>
      <w:pgSz w:w="12240" w:h="15840"/>
      <w:pgMar w:top="1037" w:bottom="1037" w:left="1123" w:right="1123" w:header="403" w:footer="43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5A636B"/>
        <w:sz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s="Liberation Sans"/>
        <w:b/>
        <w:color w:val="2E6F8E"/>
        <w:sz w:val="16"/>
      </w:rPr>
      <w:t>Cø / N*  |  STUDENT BASE PACK - NO KEYS OR REVEALS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4" w:lineRule="auto" w:after="90"/>
    </w:pPr>
    <w:rPr>
      <w:rFonts w:ascii="Liberation Serif" w:hAnsi="Liberation Serif" w:eastAsia="Liberation Serif" w:cs="Liberation Serif"/>
      <w:color w:val="232A30"/>
      <w:sz w:val="20"/>
    </w:rPr>
  </w:style>
  <w:style w:styleId="BodyText" w:type="paragraph">
    <w:name w:val="Body Text"/>
    <w:basedOn w:val="Normal"/>
    <w:link w:val="BodyTextChar"/>
    <w:qFormat/>
    <w:pPr>
      <w:widowControl/>
      <w:spacing w:after="90" w:before="180" w:line="254" w:lineRule="auto"/>
    </w:pPr>
    <w:rPr>
      <w:rFonts w:ascii="Liberation Serif" w:hAnsi="Liberation Serif" w:eastAsia="Liberation Serif" w:cs="Liberation Serif"/>
      <w:color w:val="232A30"/>
      <w:sz w:val="20"/>
    </w:rPr>
  </w:style>
  <w:style w:customStyle="1" w:styleId="FirstParagraph" w:type="paragraph">
    <w:name w:val="First Paragraph"/>
    <w:basedOn w:val="BodyText"/>
    <w:next w:val="BodyText"/>
    <w:qFormat/>
    <w:pPr>
      <w:widowControl/>
      <w:spacing w:line="254" w:lineRule="auto" w:after="90"/>
    </w:pPr>
    <w:rPr>
      <w:rFonts w:ascii="Liberation Serif" w:hAnsi="Liberation Serif" w:eastAsia="Liberation Serif" w:cs="Liberation Serif"/>
      <w:color w:val="232A30"/>
      <w:sz w:val="20"/>
    </w:rPr>
  </w:style>
  <w:style w:customStyle="1" w:styleId="Compact" w:type="paragraph">
    <w:name w:val="Compact"/>
    <w:basedOn w:val="BodyText"/>
    <w:qFormat/>
    <w:pPr>
      <w:widowControl/>
      <w:spacing w:after="90" w:before="36" w:line="254" w:lineRule="auto"/>
    </w:pPr>
    <w:rPr>
      <w:rFonts w:ascii="Liberation Serif" w:hAnsi="Liberation Serif" w:eastAsia="Liberation Serif" w:cs="Liberation Serif"/>
      <w:color w:val="232A30"/>
      <w:sz w:val="20"/>
    </w:rPr>
  </w:style>
  <w:style w:styleId="Title" w:type="paragraph">
    <w:name w:val="Title"/>
    <w:basedOn w:val="Normal"/>
    <w:next w:val="BodyText"/>
    <w:link w:val="TitleChar"/>
    <w:uiPriority w:val="10"/>
    <w:qFormat/>
    <w:rsid w:val="00A10FD9"/>
    <w:pPr>
      <w:spacing w:after="220" w:line="240" w:lineRule="auto" w:before="1840"/>
      <w:contextualSpacing/>
      <w:jc w:val="center"/>
    </w:pPr>
    <w:rPr>
      <w:rFonts w:asciiTheme="majorHAnsi" w:cstheme="majorBidi" w:eastAsiaTheme="majorEastAsia" w:hAnsiTheme="majorHAnsi" w:ascii="Liberation Sans" w:hAnsi="Liberation Sans" w:eastAsia="Liberation Sans" w:cs="Liberation Sans"/>
      <w:b/>
      <w:color w:val="1B344C"/>
      <w:sz w:val="5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520"/>
    </w:pPr>
    <w:rPr>
      <w:rFonts w:cstheme="majorBidi" w:eastAsiaTheme="majorEastAsia" w:ascii="Liberation Serif" w:hAnsi="Liberation Serif" w:eastAsia="Liberation Serif" w:cs="Liberation Serif"/>
      <w:i/>
      <w:color w:val="41566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00"/>
    </w:pPr>
    <w:rPr>
      <w:rFonts w:ascii="Liberation Sans" w:hAnsi="Liberation Sans" w:eastAsia="Liberation Sans" w:cs="Liberation Sans"/>
      <w:b/>
      <w:color w:val="2E6F8E"/>
      <w:sz w:val="21"/>
      <w:szCs w:val="24"/>
    </w:rPr>
  </w:style>
  <w:style w:styleId="Date" w:type="paragraph">
    <w:name w:val="Date"/>
    <w:basedOn w:val="Title"/>
    <w:next w:val="BodyText"/>
    <w:qFormat/>
    <w:pPr>
      <w:keepNext/>
      <w:keepLines/>
    </w:pPr>
    <w:rPr>
      <w:rFonts w:ascii="Liberation Serif" w:hAnsi="Liberation Serif" w:eastAsia="Liberation Serif" w:cs="Liberation Serif"/>
      <w:color w:val="5A636B"/>
      <w:sz w:val="19"/>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60" w:before="360"/>
      <w:outlineLvl w:val="0"/>
    </w:pPr>
    <w:rPr>
      <w:rFonts w:asciiTheme="majorHAnsi" w:cstheme="majorBidi" w:eastAsiaTheme="majorEastAsia" w:hAnsiTheme="majorHAnsi" w:ascii="Liberation Sans" w:hAnsi="Liberation Sans" w:eastAsia="Liberation Sans" w:cs="Liberation Sans"/>
      <w:b/>
      <w:color w:val="1B344C"/>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Theme="majorHAnsi" w:cstheme="majorBidi" w:eastAsiaTheme="majorEastAsia" w:hAnsiTheme="majorHAnsi" w:ascii="Liberation Sans" w:hAnsi="Liberation Sans" w:eastAsia="Liberation Sans" w:cs="Liberation Sans"/>
      <w:b/>
      <w:color w:val="1B344C"/>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cstheme="majorBidi" w:eastAsiaTheme="majorEastAsia" w:ascii="Liberation Sans" w:hAnsi="Liberation Sans" w:eastAsia="Liberation Sans" w:cs="Liberation Sans"/>
      <w:b/>
      <w:color w:val="2E6F8E"/>
      <w:sz w:val="22"/>
      <w:szCs w:val="28"/>
    </w:rPr>
  </w:style>
  <w:style w:styleId="Heading4" w:type="paragraph">
    <w:name w:val="heading 4"/>
    <w:basedOn w:val="Normal"/>
    <w:next w:val="BodyText"/>
    <w:link w:val="Heading4Char"/>
    <w:uiPriority w:val="9"/>
    <w:semiHidden/>
    <w:unhideWhenUsed/>
    <w:qFormat/>
    <w:rsid w:val="00A10FD9"/>
    <w:pPr>
      <w:keepNext/>
      <w:keepLines/>
      <w:spacing w:after="60" w:before="160"/>
      <w:outlineLvl w:val="3"/>
    </w:pPr>
    <w:rPr>
      <w:rFonts w:cstheme="majorBidi" w:eastAsiaTheme="majorEastAsia" w:ascii="Liberation Sans" w:hAnsi="Liberation Sans" w:eastAsia="Liberation Sans" w:cs="Liberation Sans"/>
      <w:b/>
      <w:i/>
      <w:iCs/>
      <w:color w:val="1B344C"/>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40" w:before="140"/>
      <w:ind w:firstLine="0" w:left="360" w:right="259"/>
    </w:pPr>
    <w:rPr>
      <w:rFonts w:ascii="Liberation Serif" w:hAnsi="Liberation Serif" w:eastAsia="Liberation Serif" w:cs="Liberation Serif"/>
      <w:i/>
      <w:color w:val="1B344C"/>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Cø / N* Student Base Resource Pack</dc:title>
  <dc:creator>Phil Stilwell</dc:creator>
  <dc:language>en-US</dc:language>
  <cp:keywords>consciousness; phenomenal presence; N*; graduate course; integration; availability; recurrence; system boundaries; indeterminacy; collaborative learning</cp:keywords>
  <dcterms:created xsi:type="dcterms:W3CDTF">2026-07-19T01:01:57Z</dcterms:created>
  <dcterms:modified xsi:type="dcterms:W3CDTF">2026-07-19T01:01:57Z</dcterms:modified>
  <dc:subject>Key-free and reveal-safe collaborative materials for the Cø / N* graduate seminar</dc:subject>
  <cp:lastModifiedBy>Cø / N* teacher-manual build</cp:lastModifiedBy>
  <dc:description>Audited edition 2.1; corpus baseline: Core v2.0 (2026-07-08) plus repository companion manuscripts (2026-07-18)</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Student base edition 2.1 - July 18, 2026</vt:lpwstr>
  </property>
  <property fmtid="{D5CDD505-2E9C-101B-9397-08002B2CF9AE}" pid="3" name="subtitle">
    <vt:lpwstr>Key-free and reveal-safe collaborative materials for Sessions 1-14</vt:lpwstr>
  </property>
</Properties>
</file>