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Consciousness Without Report</w:t>
      </w:r>
    </w:p>
    <w:p>
      <w:pPr>
        <w:pStyle w:val="Subtitle"/>
      </w:pPr>
      <w:r>
        <w:t xml:space="preserve">What System-Wide Availability Actually Requires</w:t>
      </w:r>
    </w:p>
    <w:p>
      <w:pPr>
        <w:pStyle w:val="Author"/>
      </w:pPr>
      <w:r>
        <w:t xml:space="preserve">Phil Stilwell</w:t>
      </w:r>
    </w:p>
    <w:p>
      <w:pPr>
        <w:pStyle w:val="Date"/>
      </w:pPr>
      <w:r>
        <w:t xml:space="preserve">Independent Scholar</w:t>
      </w:r>
      <w:r>
        <w:br/>
      </w:r>
      <w:r>
        <w:t xml:space="preserve">ORCID: 0009-0009-3725-8682</w:t>
      </w:r>
      <w:r>
        <w:br/>
      </w:r>
      <w:r>
        <w:t xml:space="preserve">July 11, 2026</w:t>
      </w:r>
    </w:p>
    <w:p>
      <w:pPr>
        <w:spacing w:before="280" w:after="160"/>
        <w:jc w:val="center"/>
      </w:pPr>
      <w:r>
        <w:rPr>
          <w:rFonts w:ascii="Times New Roman" w:hAnsi="Times New Roman" w:eastAsia="Times New Roman"/>
          <w:b/>
          <w:color w:val="1C2D40"/>
          <w:sz w:val="22"/>
        </w:rPr>
        <w:t>A visual preview:</w:t>
      </w:r>
    </w:p>
    <w:p>
      <w:pPr>
        <w:pStyle w:val="FirstParagraph"/>
        <w:spacing w:before="0" w:after="0"/>
        <w:ind w:left="-1440" w:right="-1440"/>
        <w:jc w:val="left"/>
      </w:pPr>
      <w:r>
        <w:drawing>
          <wp:inline>
            <wp:extent cx="7772400" cy="4341613"/>
            <wp:effectExtent b="0" l="0" r="0" t="0"/>
            <wp:docPr descr="" title="" id="10" name="Picture"/>
            <a:graphic>
              <a:graphicData uri="http://schemas.openxmlformats.org/drawingml/2006/picture">
                <pic:pic>
                  <pic:nvPicPr>
                    <pic:cNvPr descr="visual-preview.png" id="11" name="Picture"/>
                    <pic:cNvPicPr>
                      <a:picLocks noChangeArrowheads="1" noChangeAspect="1"/>
                    </pic:cNvPicPr>
                  </pic:nvPicPr>
                  <pic:blipFill>
                    <a:blip r:embed="rId9"/>
                    <a:stretch>
                      <a:fillRect/>
                    </a:stretch>
                  </pic:blipFill>
                  <pic:spPr bwMode="auto">
                    <a:xfrm>
                      <a:off x="0" y="0"/>
                      <a:ext cx="7772400" cy="4341613"/>
                    </a:xfrm>
                    <a:prstGeom prst="rect">
                      <a:avLst/>
                    </a:prstGeom>
                    <a:noFill/>
                    <a:ln w="9525">
                      <a:noFill/>
                      <a:headEnd/>
                      <a:tailEnd/>
                    </a:ln>
                  </pic:spPr>
                </pic:pic>
              </a:graphicData>
            </a:graphic>
          </wp:inline>
        </w:drawing>
      </w:r>
    </w:p>
    <w:bookmarkStart w:id="12" w:name="abstract"/>
    <w:p>
      <w:pPr>
        <w:pStyle w:val="Heading2"/>
        <w:pageBreakBefore/>
      </w:pPr>
      <w:r>
        <w:t xml:space="preserve">Abstract</w:t>
      </w:r>
    </w:p>
    <w:p>
      <w:pPr>
        <w:pStyle w:val="FirstParagraph"/>
      </w:pPr>
      <w:r>
        <w:t xml:space="preserve">Theories of consciousness often require a content to become globally available, yet availability is commonly inferred from overt report, executive use, widespread activation, or information detected at many recording sites. These indicators can dissociate. Report adds planning and motor demands; activity can spread passively; anatomical extent can increase without functional reach; and a content can be causally available to a subsystem that remains quiescent in the current task. This paper develops a report-independent criterion for the broadcast-availability condition</w:t>
      </w:r>
      <w:r>
        <w:t xml:space="preserve"> </w:t>
      </w:r>
      <m:oMath>
        <m:sSub>
          <m:e>
            <m:r>
              <m:t>N</m:t>
            </m:r>
          </m:e>
          <m:sub>
            <m:r>
              <m:t>2</m:t>
            </m:r>
          </m:sub>
        </m:sSub>
      </m:oMath>
      <w:r>
        <w:t xml:space="preserve"> </w:t>
      </w:r>
      <w:r>
        <w:t xml:space="preserve">in the</w:t>
      </w:r>
      <w:r>
        <w:t xml:space="preserve"> </w:t>
      </w:r>
      <m:oMath>
        <m:sSup>
          <m:e>
            <m:r>
              <m:t>N</m:t>
            </m:r>
          </m:e>
          <m:sup>
            <m:r>
              <m:rPr>
                <m:sty m:val="p"/>
              </m:rPr>
              <m:t>*</m:t>
            </m:r>
          </m:sup>
        </m:sSup>
      </m:oMath>
      <w:r>
        <w:t xml:space="preserve"> </w:t>
      </w:r>
      <w:r>
        <w:t xml:space="preserve">model of minimal phenomenal presence. A content is system-wide available when content-specific interventions show that it could modulate a preregistered set of functionally distinct recipient classes within bounded latency, across a nontrivial mass of nearby admissible contexts, while preserving the candidate system’s operating regime. A preparation-burden bound prevents the test from installing the very access machinery it purports to detect, and context-robustness rules prevent one unusually favorable setup from manufacturing a positive result. The criterion measures counterfactual causal availability rather than current activation. Functional diversity is defined from independently estimated causal response repertoires rather than anatomical distance, verbal labels, or node count. Content selectivity, route dependence, matched-energy controls, source-leakage controls, report-channel ablation, and executive-channel ablation distinguish broadcast from diffusion and availability from access. The framework permits posterior or subcortical availability when the required causal diversity is realized, but does not treat widespread arousal, seizure propagation, a message bus, or passive fan-out as sufficient. It returns positive, negative, indeterminate, or unlicensed component results and specifies what each result licenses. Applications to no-report perception, locked-in states, dreaming, infancy, nonhuman animals, disorders of consciousness, split brains, and artificial architectures show how the criterion changes experimental design. The proposal does not establish that availability is sufficient for consciousness. It clarifies one necessary conjunct so that</w:t>
      </w:r>
      <w:r>
        <w:t xml:space="preserve"> </w:t>
      </w:r>
      <m:oMath>
        <m:sSub>
          <m:e>
            <m:r>
              <m:t>N</m:t>
            </m:r>
          </m:e>
          <m:sub>
            <m:r>
              <m:t>2</m:t>
            </m:r>
          </m:sub>
        </m:sSub>
      </m:oMath>
      <w:r>
        <w:t xml:space="preserve"> </w:t>
      </w:r>
      <w:r>
        <w:t xml:space="preserve">neither collapses into global neuronal workspace theory nor expands into unconstrained spread.</w:t>
      </w:r>
    </w:p>
    <w:p>
      <w:pPr>
        <w:pStyle w:val="BodyText"/>
      </w:pPr>
      <w:r>
        <w:rPr>
          <w:b/>
          <w:bCs/>
        </w:rPr>
        <w:t xml:space="preserve">Keywords:</w:t>
      </w:r>
      <w:r>
        <w:t xml:space="preserve"> </w:t>
      </w:r>
      <w:r>
        <w:t xml:space="preserve">consciousness; no-report paradigms; system-wide availability; causal availability; broadcast; functional diversity; counterfactual intervention; context robustness; global workspace; posterior cortex; thalamocortical systems; artificial consciousness</w:t>
      </w:r>
    </w:p>
    <w:bookmarkEnd w:id="12"/>
    <w:bookmarkStart w:id="15" w:name="X15ebe736245aaa58389dde09ab0156f0f447bfa"/>
    <w:p>
      <w:pPr>
        <w:pStyle w:val="Heading2"/>
      </w:pPr>
      <w:r>
        <w:t xml:space="preserve">1. Introduction: Availability Is Not an Output</w:t>
      </w:r>
    </w:p>
    <w:p>
      <w:pPr>
        <w:pStyle w:val="FirstParagraph"/>
      </w:pPr>
      <w:r>
        <w:t xml:space="preserve">Consciousness science needs evidence from systems that cannot provide ordinary verbal reports. Patients can be conscious while motor output is severely impaired. Infants and nonhuman animals lack the relevant language. Dreaming and some perceptual paradigms permit experience without a concurrent report. Artificial systems can produce fluent reports even when the causal significance of those reports is unclear. A theory that makes report constitutive will therefore exclude important cases by definition and confound experience with one contingent consequence of experience.</w:t>
      </w:r>
    </w:p>
    <w:p>
      <w:pPr>
        <w:pStyle w:val="BodyText"/>
      </w:pPr>
      <w:r>
        <w:t xml:space="preserve">The</w:t>
      </w:r>
      <w:r>
        <w:t xml:space="preserve"> </w:t>
      </w:r>
      <m:oMath>
        <m:sSup>
          <m:e>
            <m:r>
              <m:t>N</m:t>
            </m:r>
          </m:e>
          <m:sup>
            <m:r>
              <m:rPr>
                <m:sty m:val="p"/>
              </m:rPr>
              <m:t>*</m:t>
            </m:r>
          </m:sup>
        </m:sSup>
      </m:oMath>
      <w:r>
        <w:t xml:space="preserve"> </w:t>
      </w:r>
      <w:r>
        <w:t xml:space="preserve">model avoids that mistake by treating report as evidence rather than as a constituent of minimal phenomenal presence. Its second conjunct,</w:t>
      </w:r>
      <w:r>
        <w:t xml:space="preserve"> </w:t>
      </w:r>
      <m:oMath>
        <m:sSub>
          <m:e>
            <m:r>
              <m:t>N</m:t>
            </m:r>
          </m:e>
          <m:sub>
            <m:r>
              <m:t>2</m:t>
            </m:r>
          </m:sub>
        </m:sSub>
      </m:oMath>
      <w:r>
        <w:t xml:space="preserve">, requires broadcast availability: a content must become available across enough of the candidate system, quickly enough, to play a system-level role. That idea is plausible but underdefined. What does</w:t>
      </w:r>
      <w:r>
        <w:t xml:space="preserve"> </w:t>
      </w:r>
      <w:r>
        <w:t xml:space="preserve">“available”</w:t>
      </w:r>
      <w:r>
        <w:t xml:space="preserve"> </w:t>
      </w:r>
      <w:r>
        <w:t xml:space="preserve">mean when no recipient currently uses the content? What makes reach system-wide rather than merely widespread? Which recipients count as different? Can posterior or subcortical systems satisfy the condition without executive access? How should broadcast be distinguished from passive diffusion, volume conduction, common input, seizure spread, or a software message copied to many idle processes?</w:t>
      </w:r>
    </w:p>
    <w:p>
      <w:pPr>
        <w:pStyle w:val="BodyText"/>
      </w:pPr>
      <w:r>
        <w:t xml:space="preserve">These are not secondary measurement questions. They determine whether</w:t>
      </w:r>
      <w:r>
        <w:t xml:space="preserve"> </w:t>
      </w:r>
      <m:oMath>
        <m:sSub>
          <m:e>
            <m:r>
              <m:t>N</m:t>
            </m:r>
          </m:e>
          <m:sub>
            <m:r>
              <m:t>2</m:t>
            </m:r>
          </m:sub>
        </m:sSub>
      </m:oMath>
      <w:r>
        <w:t xml:space="preserve"> </w:t>
      </w:r>
      <w:r>
        <w:t xml:space="preserve">is a substantive causal condition or a label applied after the desired result is known. If availability means reportability,</w:t>
      </w:r>
      <w:r>
        <w:t xml:space="preserve"> </w:t>
      </w:r>
      <m:oMath>
        <m:sSub>
          <m:e>
            <m:r>
              <m:t>N</m:t>
            </m:r>
          </m:e>
          <m:sub>
            <m:r>
              <m:t>2</m:t>
            </m:r>
          </m:sub>
        </m:sSub>
      </m:oMath>
      <w:r>
        <w:t xml:space="preserve"> </w:t>
      </w:r>
      <w:r>
        <w:t xml:space="preserve">quietly reintroduces access consciousness. If it means any detectable spread, nearly every sufficiently connected system can qualify. If globality means anatomical extent, large homogeneous networks gain an arbitrary advantage. If functional diversity is counted by node labels, analysts can manufacture diversity by reparcellating one process into many pieces.</w:t>
      </w:r>
    </w:p>
    <w:p>
      <w:pPr>
        <w:pStyle w:val="BodyText"/>
      </w:pPr>
      <w:r>
        <w:t xml:space="preserve">This paper proposes a sharper criterion:</w:t>
      </w:r>
    </w:p>
    <w:p>
      <w:pPr>
        <w:pStyle w:val="BlockText"/>
      </w:pPr>
      <w:r>
        <w:t xml:space="preserve">A content is system-wide available when admissible, content-specific interventions show that it could causally modulate multiple independently individuated and functionally distinct recipient classes within a preregistered latency bound, without requiring overt report, executive uptake, or current task use.</w:t>
      </w:r>
    </w:p>
    <w:p>
      <w:pPr>
        <w:pStyle w:val="FirstParagraph"/>
      </w:pPr>
      <w:r>
        <w:t xml:space="preserve">The modal phrase</w:t>
      </w:r>
      <w:r>
        <w:t xml:space="preserve"> </w:t>
      </w:r>
      <w:r>
        <w:t xml:space="preserve">“could causally modulate”</w:t>
      </w:r>
      <w:r>
        <w:t xml:space="preserve"> </w:t>
      </w:r>
      <w:r>
        <w:t xml:space="preserve">is essential. Availability is a disposition of the organized system, not a census of which modules happened to activate on one trial. But the disposition is not merely logical possibility. It must be demonstrated by interventions close enough to the operating regime, strong enough to estimate a causal effect, weak enough not to create a new global state, and specific enough to preserve the content contrast under test.</w:t>
      </w:r>
    </w:p>
    <w:bookmarkStart w:id="13" w:name="the-contribution"/>
    <w:p>
      <w:pPr>
        <w:pStyle w:val="Heading3"/>
      </w:pPr>
      <w:r>
        <w:t xml:space="preserve">1.1 The contribution</w:t>
      </w:r>
    </w:p>
    <w:p>
      <w:pPr>
        <w:pStyle w:val="FirstParagraph"/>
      </w:pPr>
      <w:r>
        <w:t xml:space="preserve">The paper makes six linked contributions.</w:t>
      </w:r>
    </w:p>
    <w:p>
      <w:pPr>
        <w:pStyle w:val="Compact"/>
        <w:numPr>
          <w:ilvl w:val="0"/>
          <w:numId w:val="1001"/>
        </w:numPr>
      </w:pPr>
      <w:r>
        <w:t xml:space="preserve">It replaces actual spread with an intervention-indexed counterfactual criterion.</w:t>
      </w:r>
    </w:p>
    <w:p>
      <w:pPr>
        <w:pStyle w:val="Compact"/>
        <w:numPr>
          <w:ilvl w:val="0"/>
          <w:numId w:val="1001"/>
        </w:numPr>
      </w:pPr>
      <w:r>
        <w:t xml:space="preserve">It defines globality over functional recipient classes rather than anatomical extent or raw node count.</w:t>
      </w:r>
    </w:p>
    <w:p>
      <w:pPr>
        <w:pStyle w:val="Compact"/>
        <w:numPr>
          <w:ilvl w:val="0"/>
          <w:numId w:val="1001"/>
        </w:numPr>
      </w:pPr>
      <w:r>
        <w:t xml:space="preserve">It supplies controls that separate content broadcast from passive diffusion and common drive.</w:t>
      </w:r>
    </w:p>
    <w:p>
      <w:pPr>
        <w:pStyle w:val="Compact"/>
        <w:numPr>
          <w:ilvl w:val="0"/>
          <w:numId w:val="1001"/>
        </w:numPr>
      </w:pPr>
      <w:r>
        <w:t xml:space="preserve">It removes report and executive systems from the required recipient set while allowing them to provide optional evidence.</w:t>
      </w:r>
    </w:p>
    <w:p>
      <w:pPr>
        <w:pStyle w:val="Compact"/>
        <w:numPr>
          <w:ilvl w:val="0"/>
          <w:numId w:val="1001"/>
        </w:numPr>
      </w:pPr>
      <w:r>
        <w:t xml:space="preserve">It gives posterior and subcortical broadcast a principled route to qualification without granting automatic sufficiency.</w:t>
      </w:r>
    </w:p>
    <w:p>
      <w:pPr>
        <w:pStyle w:val="Compact"/>
        <w:numPr>
          <w:ilvl w:val="0"/>
          <w:numId w:val="1001"/>
        </w:numPr>
      </w:pPr>
      <w:r>
        <w:t xml:space="preserve">It turns</w:t>
      </w:r>
      <w:r>
        <w:t xml:space="preserve"> </w:t>
      </w:r>
      <m:oMath>
        <m:sSub>
          <m:e>
            <m:r>
              <m:t>N</m:t>
            </m:r>
          </m:e>
          <m:sub>
            <m:r>
              <m:t>2</m:t>
            </m:r>
          </m:sub>
        </m:sSub>
      </m:oMath>
      <w:r>
        <w:t xml:space="preserve"> </w:t>
      </w:r>
      <w:r>
        <w:t xml:space="preserve">into a four-outcome component test with explicit uncertainty, invalidity, and falsification rules.</w:t>
      </w:r>
    </w:p>
    <w:p>
      <w:pPr>
        <w:pStyle w:val="FirstParagraph"/>
      </w:pPr>
      <w:r>
        <w:t xml:space="preserve">This is a conceptual and methodological paper. It does not report a new dataset, claim universal numerical thresholds, or infer consciousness from availability alone. The numerical examples are synthetic. The proposed quantities must be operationalized and calibrated for each substrate, grain, horizon, and intervention family.</w:t>
      </w:r>
    </w:p>
    <w:bookmarkEnd w:id="13"/>
    <w:bookmarkStart w:id="14" w:name="relation-to-the-n-model"/>
    <w:p>
      <w:pPr>
        <w:pStyle w:val="Heading3"/>
      </w:pPr>
      <w:r>
        <w:t xml:space="preserve">1.2 Relation to the</w:t>
      </w:r>
      <w:r>
        <w:t xml:space="preserve"> </w:t>
      </w:r>
      <m:oMath>
        <m:sSup>
          <m:e>
            <m:r>
              <m:t>N</m:t>
            </m:r>
          </m:e>
          <m:sup>
            <m:r>
              <m:rPr>
                <m:sty m:val="p"/>
              </m:rPr>
              <m:t>*</m:t>
            </m:r>
          </m:sup>
        </m:sSup>
      </m:oMath>
      <w:r>
        <w:t xml:space="preserve"> </w:t>
      </w:r>
      <w:r>
        <w:t xml:space="preserve">model</w:t>
      </w:r>
    </w:p>
    <w:p>
      <w:pPr>
        <w:pStyle w:val="FirstParagraph"/>
      </w:pPr>
      <w:r>
        <w:t xml:space="preserve">For a boundary-qualified candidate system</w:t>
      </w:r>
      <w:r>
        <w:t xml:space="preserve"> </w:t>
      </w:r>
      <m:oMath>
        <m:r>
          <m:t>S</m:t>
        </m:r>
      </m:oMath>
      <w:r>
        <w:t xml:space="preserve">, the core model states</w:t>
      </w:r>
    </w:p>
    <w:p>
      <w:pPr>
        <w:pStyle w:val="BodyText"/>
      </w:pPr>
      <m:oMathPara>
        <m:oMathParaPr>
          <m:jc m:val="center"/>
        </m:oMathParaPr>
        <m:oMath>
          <m:sSup>
            <m:e>
              <m:r>
                <m:t>N</m:t>
              </m:r>
            </m:e>
            <m:sup>
              <m:r>
                <m:rPr>
                  <m:sty m:val="p"/>
                </m:rPr>
                <m:t>*</m:t>
              </m:r>
            </m:sup>
          </m:sSup>
          <m:r>
            <m:rPr>
              <m:sty m:val="p"/>
            </m:rPr>
            <m:t>(</m:t>
          </m:r>
          <m:r>
            <m:t>S</m:t>
          </m:r>
          <m:r>
            <m:rPr>
              <m:sty m:val="p"/>
            </m:rPr>
            <m:t>,</m:t>
          </m:r>
          <m:r>
            <m:t>c</m:t>
          </m:r>
          <m:r>
            <m:rPr>
              <m:sty m:val="p"/>
            </m:rPr>
            <m:t>)</m:t>
          </m:r>
          <m:r>
            <m:rPr>
              <m:sty m:val="p"/>
            </m:rPr>
            <m:t>=</m:t>
          </m:r>
          <m:sSub>
            <m:e>
              <m:r>
                <m:t>N</m:t>
              </m:r>
            </m:e>
            <m:sub>
              <m:r>
                <m:t>1</m:t>
              </m:r>
            </m:sub>
          </m:sSub>
          <m:r>
            <m:rPr>
              <m:sty m:val="p"/>
            </m:rPr>
            <m:t>(</m:t>
          </m:r>
          <m:r>
            <m:t>S</m:t>
          </m:r>
          <m:r>
            <m:rPr>
              <m:sty m:val="p"/>
            </m:rPr>
            <m:t>,</m:t>
          </m:r>
          <m:r>
            <m:t>c</m:t>
          </m:r>
          <m:r>
            <m:rPr>
              <m:sty m:val="p"/>
            </m:rPr>
            <m:t>)</m:t>
          </m:r>
          <m:r>
            <m:rPr>
              <m:sty m:val="p"/>
            </m:rPr>
            <m:t>∧</m:t>
          </m:r>
          <m:sSub>
            <m:e>
              <m:r>
                <m:t>N</m:t>
              </m:r>
            </m:e>
            <m:sub>
              <m:r>
                <m:t>2</m:t>
              </m:r>
            </m:sub>
          </m:sSub>
          <m:r>
            <m:rPr>
              <m:sty m:val="p"/>
            </m:rPr>
            <m:t>(</m:t>
          </m:r>
          <m:r>
            <m:t>S</m:t>
          </m:r>
          <m:r>
            <m:rPr>
              <m:sty m:val="p"/>
            </m:rPr>
            <m:t>,</m:t>
          </m:r>
          <m:r>
            <m:t>c</m:t>
          </m:r>
          <m:r>
            <m:rPr>
              <m:sty m:val="p"/>
            </m:rPr>
            <m:t>)</m:t>
          </m:r>
          <m:r>
            <m:rPr>
              <m:sty m:val="p"/>
            </m:rPr>
            <m:t>∧</m:t>
          </m:r>
          <m:sSub>
            <m:e>
              <m:r>
                <m:t>N</m:t>
              </m:r>
            </m:e>
            <m:sub>
              <m:r>
                <m:t>3</m:t>
              </m:r>
            </m:sub>
          </m:sSub>
          <m:r>
            <m:rPr>
              <m:sty m:val="p"/>
            </m:rPr>
            <m:t>(</m:t>
          </m:r>
          <m:r>
            <m:t>S</m:t>
          </m:r>
          <m:r>
            <m:rPr>
              <m:sty m:val="p"/>
            </m:rPr>
            <m:t>,</m:t>
          </m:r>
          <m:r>
            <m:t>c</m:t>
          </m:r>
          <m:r>
            <m:rPr>
              <m:sty m:val="p"/>
            </m:rPr>
            <m:t>)</m:t>
          </m:r>
          <m:r>
            <m:rPr>
              <m:sty m:val="p"/>
            </m:rPr>
            <m:t>,</m:t>
          </m:r>
        </m:oMath>
      </m:oMathPara>
    </w:p>
    <w:p>
      <w:pPr>
        <w:pStyle w:val="FirstParagraph"/>
      </w:pPr>
      <w:r>
        <w:t xml:space="preserve">where</w:t>
      </w:r>
      <w:r>
        <w:t xml:space="preserve"> </w:t>
      </w:r>
      <m:oMath>
        <m:sSub>
          <m:e>
            <m:r>
              <m:t>N</m:t>
            </m:r>
          </m:e>
          <m:sub>
            <m:r>
              <m:t>1</m:t>
            </m:r>
          </m:sub>
        </m:sSub>
      </m:oMath>
      <w:r>
        <w:t xml:space="preserve"> </w:t>
      </w:r>
      <w:r>
        <w:t xml:space="preserve">concerns integration or synergy,</w:t>
      </w:r>
      <w:r>
        <w:t xml:space="preserve"> </w:t>
      </w:r>
      <m:oMath>
        <m:sSub>
          <m:e>
            <m:r>
              <m:t>N</m:t>
            </m:r>
          </m:e>
          <m:sub>
            <m:r>
              <m:t>2</m:t>
            </m:r>
          </m:sub>
        </m:sSub>
      </m:oMath>
      <w:r>
        <w:t xml:space="preserve"> </w:t>
      </w:r>
      <w:r>
        <w:t xml:space="preserve">concerns system-wide availability, and</w:t>
      </w:r>
      <w:r>
        <w:t xml:space="preserve"> </w:t>
      </w:r>
      <m:oMath>
        <m:sSub>
          <m:e>
            <m:r>
              <m:t>N</m:t>
            </m:r>
          </m:e>
          <m:sub>
            <m:r>
              <m:t>3</m:t>
            </m:r>
          </m:sub>
        </m:sSub>
      </m:oMath>
      <w:r>
        <w:t xml:space="preserve"> </w:t>
      </w:r>
      <w:r>
        <w:t xml:space="preserve">concerns recurrent stability.</w:t>
      </w:r>
    </w:p>
    <w:p>
      <w:pPr>
        <w:pStyle w:val="BodyText"/>
      </w:pPr>
      <w:r>
        <w:rPr>
          <w:b/>
          <w:bCs/>
        </w:rPr>
        <w:t xml:space="preserve">Annotation.</w:t>
      </w:r>
      <w:r>
        <w:t xml:space="preserve"> </w:t>
      </w:r>
      <w:r>
        <w:t xml:space="preserve">The same system</w:t>
      </w:r>
      <w:r>
        <w:t xml:space="preserve"> </w:t>
      </w:r>
      <m:oMath>
        <m:r>
          <m:t>S</m:t>
        </m:r>
      </m:oMath>
      <w:r>
        <w:t xml:space="preserve">, content</w:t>
      </w:r>
      <w:r>
        <w:t xml:space="preserve"> </w:t>
      </w:r>
      <m:oMath>
        <m:r>
          <m:t>c</m:t>
        </m:r>
      </m:oMath>
      <w:r>
        <w:t xml:space="preserve">, grain, and evaluation window must be used across all three conjuncts. Evidence that a content is integrated in one boundary, available in a larger boundary, and recurrent in a third does not establish</w:t>
      </w:r>
      <w:r>
        <w:t xml:space="preserve"> </w:t>
      </w:r>
      <m:oMath>
        <m:sSup>
          <m:e>
            <m:r>
              <m:t>N</m:t>
            </m:r>
          </m:e>
          <m:sup>
            <m:r>
              <m:rPr>
                <m:sty m:val="p"/>
              </m:rPr>
              <m:t>*</m:t>
            </m:r>
          </m:sup>
        </m:sSup>
      </m:oMath>
      <w:r>
        <w:t xml:space="preserve"> </w:t>
      </w:r>
      <w:r>
        <w:t xml:space="preserve">for any one system.</w:t>
      </w:r>
    </w:p>
    <w:p>
      <w:pPr>
        <w:pStyle w:val="BodyText"/>
      </w:pPr>
      <w:r>
        <w:t xml:space="preserve">The present paper addresses only</w:t>
      </w:r>
      <w:r>
        <w:t xml:space="preserve"> </w:t>
      </w:r>
      <m:oMath>
        <m:sSub>
          <m:e>
            <m:r>
              <m:t>N</m:t>
            </m:r>
          </m:e>
          <m:sub>
            <m:r>
              <m:t>2</m:t>
            </m:r>
          </m:sub>
        </m:sSub>
      </m:oMath>
      <w:r>
        <w:t xml:space="preserve">. A positive availability result does not establish</w:t>
      </w:r>
      <w:r>
        <w:t xml:space="preserve"> </w:t>
      </w:r>
      <m:oMath>
        <m:sSub>
          <m:e>
            <m:r>
              <m:t>N</m:t>
            </m:r>
          </m:e>
          <m:sub>
            <m:r>
              <m:t>1</m:t>
            </m:r>
          </m:sub>
        </m:sSub>
      </m:oMath>
      <w:r>
        <w:t xml:space="preserve">,</w:t>
      </w:r>
      <w:r>
        <w:t xml:space="preserve"> </w:t>
      </w:r>
      <m:oMath>
        <m:sSub>
          <m:e>
            <m:r>
              <m:t>N</m:t>
            </m:r>
          </m:e>
          <m:sub>
            <m:r>
              <m:t>3</m:t>
            </m:r>
          </m:sub>
        </m:sSub>
      </m:oMath>
      <w:r>
        <w:t xml:space="preserve">, viability, or consciousness. A negative</w:t>
      </w:r>
      <w:r>
        <w:t xml:space="preserve"> </w:t>
      </w:r>
      <m:oMath>
        <m:sSub>
          <m:e>
            <m:r>
              <m:t>N</m:t>
            </m:r>
          </m:e>
          <m:sub>
            <m:r>
              <m:t>2</m:t>
            </m:r>
          </m:sub>
        </m:sSub>
      </m:oMath>
      <w:r>
        <w:t xml:space="preserve"> </w:t>
      </w:r>
      <w:r>
        <w:t xml:space="preserve">result counts against the</w:t>
      </w:r>
      <w:r>
        <w:t xml:space="preserve"> </w:t>
      </w:r>
      <m:oMath>
        <m:sSup>
          <m:e>
            <m:r>
              <m:t>N</m:t>
            </m:r>
          </m:e>
          <m:sup>
            <m:r>
              <m:rPr>
                <m:sty m:val="p"/>
              </m:rPr>
              <m:t>*</m:t>
            </m:r>
          </m:sup>
        </m:sSup>
      </m:oMath>
      <w:r>
        <w:t xml:space="preserve"> </w:t>
      </w:r>
      <w:r>
        <w:t xml:space="preserve">classification only when the availability test is valid for the candidate and content. An unlicensed or indeterminate result must not be silently converted into absence.</w:t>
      </w:r>
    </w:p>
    <w:p>
      <w:pPr>
        <w:pStyle w:val="BodyText"/>
      </w:pPr>
      <w:r>
        <w:t xml:space="preserve">The boundary paper argues that system individuation must precede consciousness measurement. The present proposal inherits that ordering.</w:t>
      </w:r>
      <w:r>
        <w:t xml:space="preserve"> </w:t>
      </w:r>
      <w:r>
        <w:t xml:space="preserve">“System-wide”</w:t>
      </w:r>
      <w:r>
        <w:t xml:space="preserve"> </w:t>
      </w:r>
      <w:r>
        <w:t xml:space="preserve">is indexed to a frozen candidate boundary, not used to discover one retrospectively. The indeterminacy paper supplies the output discipline used here: valid nondiscrimination is indeterminate; failed interpretation is unlicensed (Stilwell, 2026b, 2026c).</w:t>
      </w:r>
    </w:p>
    <w:bookmarkEnd w:id="14"/>
    <w:bookmarkEnd w:id="15"/>
    <w:bookmarkStart w:id="22" w:name="Xa97b192edd4d442ef45f554e1ce0148691b9cd1"/>
    <w:p>
      <w:pPr>
        <w:pStyle w:val="Heading2"/>
      </w:pPr>
      <w:r>
        <w:t xml:space="preserve">2. Six Distinctions the Criterion Must Preserve</w:t>
      </w:r>
    </w:p>
    <w:bookmarkStart w:id="16" w:name="Xb907b0591376c174bc4178b1c441012ea2b85a4"/>
    <w:p>
      <w:pPr>
        <w:pStyle w:val="Heading3"/>
      </w:pPr>
      <w:r>
        <w:t xml:space="preserve">2.1 Actual activation versus causal availability</w:t>
      </w:r>
    </w:p>
    <w:p>
      <w:pPr>
        <w:pStyle w:val="FirstParagraph"/>
      </w:pPr>
      <w:r>
        <w:t xml:space="preserve">A recipient can be available to a content without changing its measured state in the current task. The recipient may be idle, inhibited, or not presently queried. Conversely, a recipient can activate because of common input, arousal, or a nonspecific wave without being able to usefully discriminate the content. Actual activation asks what occurred. Causal availability asks what the organized system would permit under an admissible intervention.</w:t>
      </w:r>
    </w:p>
    <w:p>
      <w:pPr>
        <w:pStyle w:val="BodyText"/>
      </w:pPr>
      <w:r>
        <w:t xml:space="preserve">This distinction is familiar in other domains. A valve can be open even when no fluid currently passes; a communication channel can be available even when no message is sent. In neural systems, however, the disposition must be demonstrated rather than stipulated. The relevant counterfactual must remain near the observed operating regime and must not add the very routing architecture under test.</w:t>
      </w:r>
    </w:p>
    <w:bookmarkEnd w:id="16"/>
    <w:bookmarkStart w:id="17" w:name="availability-versus-report"/>
    <w:p>
      <w:pPr>
        <w:pStyle w:val="Heading3"/>
      </w:pPr>
      <w:r>
        <w:t xml:space="preserve">2.2 Availability versus report</w:t>
      </w:r>
    </w:p>
    <w:p>
      <w:pPr>
        <w:pStyle w:val="FirstParagraph"/>
      </w:pPr>
      <w:r>
        <w:t xml:space="preserve">Report is one downstream expression of availability. It additionally requires a reporting code, task comprehension, selection, memory long enough to support the response, decision, and motor execution. Failure at any of these stages can remove report while preserving experience and other forms of causal reach. No-report paradigms were developed partly to separate neural events associated with perception from events associated with introspection and action (Frassle et al., 2014; Tsuchiya et al., 2015).</w:t>
      </w:r>
    </w:p>
    <w:p>
      <w:pPr>
        <w:pStyle w:val="BodyText"/>
      </w:pPr>
      <w:r>
        <w:t xml:space="preserve">Report remains valuable evidence when its causal path is understood. It is not the constitutive criterion. A theory should be able to silence a report channel and still ask whether the content remains available elsewhere.</w:t>
      </w:r>
    </w:p>
    <w:bookmarkEnd w:id="17"/>
    <w:bookmarkStart w:id="18" w:name="broadcast-versus-diffusion"/>
    <w:p>
      <w:pPr>
        <w:pStyle w:val="Heading3"/>
      </w:pPr>
      <w:r>
        <w:t xml:space="preserve">2.3 Broadcast versus diffusion</w:t>
      </w:r>
    </w:p>
    <w:p>
      <w:pPr>
        <w:pStyle w:val="FirstParagraph"/>
      </w:pPr>
      <w:r>
        <w:t xml:space="preserve">Diffusion is spread generated by local coupling, passive propagation, volume conduction, indiscriminate fan-out, or a common source. Broadcast is content-specific causal access by recipient systems. A seizure can recruit much of the brain while degrading differentiated processing. A global arousal pulse can alter many regions without making one content available. A software bus can copy a token to every subscriber while none of them possesses a content-sensitive transition rule.</w:t>
      </w:r>
    </w:p>
    <w:p>
      <w:pPr>
        <w:pStyle w:val="BodyText"/>
      </w:pPr>
      <w:r>
        <w:t xml:space="preserve">Widespread response is therefore at most a candidate signature. Broadcast requires directionality, content selectivity, bounded latency, and recipient-specific modulation that survives matched-energy and common-input controls.</w:t>
      </w:r>
    </w:p>
    <w:bookmarkEnd w:id="18"/>
    <w:bookmarkStart w:id="19" w:name="globality-versus-anatomical-extent"/>
    <w:p>
      <w:pPr>
        <w:pStyle w:val="Heading3"/>
      </w:pPr>
      <w:r>
        <w:t xml:space="preserve">2.4 Globality versus anatomical extent</w:t>
      </w:r>
    </w:p>
    <w:p>
      <w:pPr>
        <w:pStyle w:val="FirstParagraph"/>
      </w:pPr>
      <w:r>
        <w:t xml:space="preserve">“Global”</w:t>
      </w:r>
      <w:r>
        <w:t xml:space="preserve"> </w:t>
      </w:r>
      <w:r>
        <w:t xml:space="preserve">is often heard as</w:t>
      </w:r>
      <w:r>
        <w:t xml:space="preserve"> </w:t>
      </w:r>
      <w:r>
        <w:t xml:space="preserve">“far across the brain.”</w:t>
      </w:r>
      <w:r>
        <w:t xml:space="preserve"> </w:t>
      </w:r>
      <w:r>
        <w:t xml:space="preserve">That interpretation is unsuitable across species, developmental stages, artificial systems, and alternative candidate boundaries. A spatially compact circuit can coordinate distinct sensory, affective, orienting, and regulatory functions. A spatially extensive sheet can remain functionally homogeneous.</w:t>
      </w:r>
    </w:p>
    <w:p>
      <w:pPr>
        <w:pStyle w:val="BodyText"/>
      </w:pPr>
      <w:r>
        <w:t xml:space="preserve">Globality should instead be measured relative to the frozen system and its functionally distinct recipient classes. Anatomical distance is relevant to latency and routing cost, but it is not the definition of globality.</w:t>
      </w:r>
    </w:p>
    <w:bookmarkEnd w:id="19"/>
    <w:bookmarkStart w:id="20" w:name="functional-diversity-versus-node-count"/>
    <w:p>
      <w:pPr>
        <w:pStyle w:val="Heading3"/>
      </w:pPr>
      <w:r>
        <w:t xml:space="preserve">2.5 Functional diversity versus node count</w:t>
      </w:r>
    </w:p>
    <w:p>
      <w:pPr>
        <w:pStyle w:val="FirstParagraph"/>
      </w:pPr>
      <w:r>
        <w:t xml:space="preserve">Counting reached nodes rewards finer parcellation. One visual module divided into 100 parcels should not outrank a five-module system merely because more recording sites cross a threshold. Recipient classes must be individuated from causal response repertoires estimated independently of the target content and final availability result.</w:t>
      </w:r>
    </w:p>
    <w:p>
      <w:pPr>
        <w:pStyle w:val="BodyText"/>
      </w:pPr>
      <w:r>
        <w:t xml:space="preserve">Functional diversity also does not require familiar human cognitive labels.</w:t>
      </w:r>
      <w:r>
        <w:t xml:space="preserve"> </w:t>
      </w:r>
      <w:r>
        <w:t xml:space="preserve">“Memory,”</w:t>
      </w:r>
      <w:r>
        <w:t xml:space="preserve"> </w:t>
      </w:r>
      <w:r>
        <w:t xml:space="preserve">“decision,”</w:t>
      </w:r>
      <w:r>
        <w:t xml:space="preserve"> </w:t>
      </w:r>
      <w:r>
        <w:t xml:space="preserve">and</w:t>
      </w:r>
      <w:r>
        <w:t xml:space="preserve"> </w:t>
      </w:r>
      <w:r>
        <w:t xml:space="preserve">“executive control”</w:t>
      </w:r>
      <w:r>
        <w:t xml:space="preserve"> </w:t>
      </w:r>
      <w:r>
        <w:t xml:space="preserve">can be useful descriptions, but the criterion should work where those capacities are absent or disputed. Distinctness is grounded in differences among causal input-output repertoires, timescales, and state-transition sensitivities.</w:t>
      </w:r>
    </w:p>
    <w:bookmarkEnd w:id="20"/>
    <w:bookmarkStart w:id="21" w:name="X64e6e8634154b9e8f5d899b10f327e026a02e20"/>
    <w:p>
      <w:pPr>
        <w:pStyle w:val="Heading3"/>
      </w:pPr>
      <w:r>
        <w:t xml:space="preserve">2.6 Posterior or subcortical broadcast versus executive access</w:t>
      </w:r>
    </w:p>
    <w:p>
      <w:pPr>
        <w:pStyle w:val="FirstParagraph"/>
      </w:pPr>
      <w:r>
        <w:t xml:space="preserve">Global neuronal workspace accounts often emphasize higher-order cortical systems, especially frontoparietal networks, while recent adversarial and no-report work complicates simple localization claims (Cogitate Consortium et al., 2025; Kapoor et al., 2022). Thalamic stimulation and thalamocortical mapping also show that subcortical structures can causally organize broad cortical dynamics (Lyu et al., 2025; Redinbaugh et al., 2020).</w:t>
      </w:r>
    </w:p>
    <w:p>
      <w:pPr>
        <w:pStyle w:val="BodyText"/>
      </w:pPr>
      <w:r>
        <w:t xml:space="preserve">The present criterion does not assign a mandatory prefrontal recipient. Posterior, thalamocortical, or other architectures may qualify if they realize content-specific, timely reach across functionally diverse recipients. Report-independent imaging also motivates attention to interacting cortical and subcortical networks rather than a report pathway alone (Kronemer et al., 2022). These architectures do not qualify merely because they are posterior or subcortical. The same causal tests apply.</w:t>
      </w:r>
    </w:p>
    <w:tbl>
      <w:tblPr>
        <w:tblW w:type="pct" w:w="5000"/>
        <w:jc w:val="center"/>
        <w:tblLayout w:type="fixed"/>
        <w:tblLook w:firstRow="1" w:lastRow="0" w:firstColumn="0" w:lastColumn="0" w:noHBand="0" w:noVBand="0" w:val="0020"/>
      </w:tblPr>
      <w:tblGrid>
        <w:gridCol w:w="1425"/>
        <w:gridCol w:w="2851"/>
        <w:gridCol w:w="3643"/>
      </w:tblGrid>
      <w:tr>
        <w:trPr>
          <w:tblHeader w:val="on"/>
          <w:cantSplit/>
          <w:tblHeader w:val="true"/>
        </w:trPr>
        <w:tc>
          <w:tcPr>
            <w:tcW w:type="dxa" w:w="1685"/>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Distinction</w:t>
            </w:r>
          </w:p>
        </w:tc>
        <w:tc>
          <w:tcPr>
            <w:tcW w:type="dxa" w:w="3370"/>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Does not establish</w:t>
            </w:r>
          </w:p>
        </w:tc>
        <w:tc>
          <w:tcPr>
            <w:tcW w:type="dxa" w:w="4306"/>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Required test</w:t>
            </w:r>
          </w:p>
        </w:tc>
      </w:tr>
      <w:tr>
        <w:trPr>
          <w:cantSplit/>
        </w:trPr>
        <w:tc>
          <w:tcPr>
            <w:tcW w:type="dxa" w:w="1685"/>
            <w:shd w:fill="FFFFFF" w:val="clear"/>
          </w:tcPr>
          <w:p>
            <w:pPr>
              <w:pStyle w:val="Compact"/>
              <w:spacing w:after="60"/>
            </w:pPr>
            <w:r>
              <w:rPr>
                <w:rFonts w:ascii="Times New Roman" w:hAnsi="Times New Roman" w:eastAsia="Times New Roman"/>
                <w:sz w:val="18"/>
              </w:rPr>
              <w:t xml:space="preserve">Actual activation / availability</w:t>
            </w:r>
          </w:p>
        </w:tc>
        <w:tc>
          <w:tcPr>
            <w:tcW w:type="dxa" w:w="3370"/>
            <w:shd w:fill="FFFFFF" w:val="clear"/>
          </w:tcPr>
          <w:p>
            <w:pPr>
              <w:pStyle w:val="Compact"/>
              <w:spacing w:after="60"/>
            </w:pPr>
            <w:r>
              <w:rPr>
                <w:rFonts w:ascii="Times New Roman" w:hAnsi="Times New Roman" w:eastAsia="Times New Roman"/>
                <w:sz w:val="18"/>
              </w:rPr>
              <w:t xml:space="preserve">Coactivation or current uptake does not establish a disposition.</w:t>
            </w:r>
          </w:p>
        </w:tc>
        <w:tc>
          <w:tcPr>
            <w:tcW w:type="dxa" w:w="4306"/>
            <w:shd w:fill="FFFFFF" w:val="clear"/>
          </w:tcPr>
          <w:p>
            <w:pPr>
              <w:pStyle w:val="Compact"/>
              <w:spacing w:after="60"/>
            </w:pPr>
            <w:r>
              <w:rPr>
                <w:rFonts w:ascii="Times New Roman" w:hAnsi="Times New Roman" w:eastAsia="Times New Roman"/>
                <w:sz w:val="18"/>
              </w:rPr>
              <w:t xml:space="preserve">Matched content intervention and recipient response under admissible nearby contexts.</w:t>
            </w:r>
          </w:p>
        </w:tc>
      </w:tr>
      <w:tr>
        <w:trPr>
          <w:cantSplit/>
        </w:trPr>
        <w:tc>
          <w:tcPr>
            <w:tcW w:type="dxa" w:w="1685"/>
            <w:shd w:fill="EAF1F6" w:val="clear"/>
          </w:tcPr>
          <w:p>
            <w:pPr>
              <w:pStyle w:val="Compact"/>
              <w:spacing w:after="60"/>
            </w:pPr>
            <w:r>
              <w:rPr>
                <w:rFonts w:ascii="Times New Roman" w:hAnsi="Times New Roman" w:eastAsia="Times New Roman"/>
                <w:sz w:val="18"/>
              </w:rPr>
              <w:t xml:space="preserve">Availability / report</w:t>
            </w:r>
          </w:p>
        </w:tc>
        <w:tc>
          <w:tcPr>
            <w:tcW w:type="dxa" w:w="3370"/>
            <w:shd w:fill="EAF1F6" w:val="clear"/>
          </w:tcPr>
          <w:p>
            <w:pPr>
              <w:pStyle w:val="Compact"/>
              <w:spacing w:after="60"/>
            </w:pPr>
            <w:r>
              <w:rPr>
                <w:rFonts w:ascii="Times New Roman" w:hAnsi="Times New Roman" w:eastAsia="Times New Roman"/>
                <w:sz w:val="18"/>
              </w:rPr>
              <w:t xml:space="preserve">Speech, button press, or motor preparation adds auxiliary demands.</w:t>
            </w:r>
          </w:p>
        </w:tc>
        <w:tc>
          <w:tcPr>
            <w:tcW w:type="dxa" w:w="4306"/>
            <w:shd w:fill="EAF1F6" w:val="clear"/>
          </w:tcPr>
          <w:p>
            <w:pPr>
              <w:pStyle w:val="Compact"/>
              <w:spacing w:after="60"/>
            </w:pPr>
            <w:r>
              <w:rPr>
                <w:rFonts w:ascii="Times New Roman" w:hAnsi="Times New Roman" w:eastAsia="Times New Roman"/>
                <w:sz w:val="18"/>
              </w:rPr>
              <w:t xml:space="preserve">Preserve availability after report-channel interruption or omission.</w:t>
            </w:r>
          </w:p>
        </w:tc>
      </w:tr>
      <w:tr>
        <w:trPr>
          <w:cantSplit/>
        </w:trPr>
        <w:tc>
          <w:tcPr>
            <w:tcW w:type="dxa" w:w="1685"/>
            <w:shd w:fill="FFFFFF" w:val="clear"/>
          </w:tcPr>
          <w:p>
            <w:pPr>
              <w:pStyle w:val="Compact"/>
              <w:spacing w:after="60"/>
            </w:pPr>
            <w:r>
              <w:rPr>
                <w:rFonts w:ascii="Times New Roman" w:hAnsi="Times New Roman" w:eastAsia="Times New Roman"/>
                <w:sz w:val="18"/>
              </w:rPr>
              <w:t xml:space="preserve">Broadcast / diffusion</w:t>
            </w:r>
          </w:p>
        </w:tc>
        <w:tc>
          <w:tcPr>
            <w:tcW w:type="dxa" w:w="3370"/>
            <w:shd w:fill="FFFFFF" w:val="clear"/>
          </w:tcPr>
          <w:p>
            <w:pPr>
              <w:pStyle w:val="Compact"/>
              <w:spacing w:after="60"/>
            </w:pPr>
            <w:r>
              <w:rPr>
                <w:rFonts w:ascii="Times New Roman" w:hAnsi="Times New Roman" w:eastAsia="Times New Roman"/>
                <w:sz w:val="18"/>
              </w:rPr>
              <w:t xml:space="preserve">Widespread energy, common input, or passive propagation is nonspecific.</w:t>
            </w:r>
          </w:p>
        </w:tc>
        <w:tc>
          <w:tcPr>
            <w:tcW w:type="dxa" w:w="4306"/>
            <w:shd w:fill="FFFFFF" w:val="clear"/>
          </w:tcPr>
          <w:p>
            <w:pPr>
              <w:pStyle w:val="Compact"/>
              <w:spacing w:after="60"/>
            </w:pPr>
            <w:r>
              <w:rPr>
                <w:rFonts w:ascii="Times New Roman" w:hAnsi="Times New Roman" w:eastAsia="Times New Roman"/>
                <w:sz w:val="18"/>
              </w:rPr>
              <w:t xml:space="preserve">Content selectivity, directionality, route controls, and recipient-specific effects.</w:t>
            </w:r>
          </w:p>
        </w:tc>
      </w:tr>
      <w:tr>
        <w:trPr>
          <w:cantSplit/>
        </w:trPr>
        <w:tc>
          <w:tcPr>
            <w:tcW w:type="dxa" w:w="1685"/>
            <w:shd w:fill="EAF1F6" w:val="clear"/>
          </w:tcPr>
          <w:p>
            <w:pPr>
              <w:pStyle w:val="Compact"/>
              <w:spacing w:after="60"/>
            </w:pPr>
            <w:r>
              <w:rPr>
                <w:rFonts w:ascii="Times New Roman" w:hAnsi="Times New Roman" w:eastAsia="Times New Roman"/>
                <w:sz w:val="18"/>
              </w:rPr>
              <w:t xml:space="preserve">Globality / extent</w:t>
            </w:r>
          </w:p>
        </w:tc>
        <w:tc>
          <w:tcPr>
            <w:tcW w:type="dxa" w:w="3370"/>
            <w:shd w:fill="EAF1F6" w:val="clear"/>
          </w:tcPr>
          <w:p>
            <w:pPr>
              <w:pStyle w:val="Compact"/>
              <w:spacing w:after="60"/>
            </w:pPr>
            <w:r>
              <w:rPr>
                <w:rFonts w:ascii="Times New Roman" w:hAnsi="Times New Roman" w:eastAsia="Times New Roman"/>
                <w:sz w:val="18"/>
              </w:rPr>
              <w:t xml:space="preserve">Long distance or large volume can remain homogeneous.</w:t>
            </w:r>
          </w:p>
        </w:tc>
        <w:tc>
          <w:tcPr>
            <w:tcW w:type="dxa" w:w="4306"/>
            <w:shd w:fill="EAF1F6" w:val="clear"/>
          </w:tcPr>
          <w:p>
            <w:pPr>
              <w:pStyle w:val="Compact"/>
              <w:spacing w:after="60"/>
            </w:pPr>
            <w:r>
              <w:rPr>
                <w:rFonts w:ascii="Times New Roman" w:hAnsi="Times New Roman" w:eastAsia="Times New Roman"/>
                <w:sz w:val="18"/>
              </w:rPr>
              <w:t xml:space="preserve">Coverage across frozen functional classes relative to the candidate system.</w:t>
            </w:r>
          </w:p>
        </w:tc>
      </w:tr>
      <w:tr>
        <w:trPr>
          <w:cantSplit/>
        </w:trPr>
        <w:tc>
          <w:tcPr>
            <w:tcW w:type="dxa" w:w="1685"/>
            <w:shd w:fill="FFFFFF" w:val="clear"/>
          </w:tcPr>
          <w:p>
            <w:pPr>
              <w:pStyle w:val="Compact"/>
              <w:spacing w:after="60"/>
            </w:pPr>
            <w:r>
              <w:rPr>
                <w:rFonts w:ascii="Times New Roman" w:hAnsi="Times New Roman" w:eastAsia="Times New Roman"/>
                <w:sz w:val="18"/>
              </w:rPr>
              <w:t xml:space="preserve">Diversity / count</w:t>
            </w:r>
          </w:p>
        </w:tc>
        <w:tc>
          <w:tcPr>
            <w:tcW w:type="dxa" w:w="3370"/>
            <w:shd w:fill="FFFFFF" w:val="clear"/>
          </w:tcPr>
          <w:p>
            <w:pPr>
              <w:pStyle w:val="Compact"/>
              <w:spacing w:after="60"/>
            </w:pPr>
            <w:r>
              <w:rPr>
                <w:rFonts w:ascii="Times New Roman" w:hAnsi="Times New Roman" w:eastAsia="Times New Roman"/>
                <w:sz w:val="18"/>
              </w:rPr>
              <w:t xml:space="preserve">Reparcellation can multiply nodes without multiplying functions.</w:t>
            </w:r>
          </w:p>
        </w:tc>
        <w:tc>
          <w:tcPr>
            <w:tcW w:type="dxa" w:w="4306"/>
            <w:shd w:fill="FFFFFF" w:val="clear"/>
          </w:tcPr>
          <w:p>
            <w:pPr>
              <w:pStyle w:val="Compact"/>
              <w:spacing w:after="60"/>
            </w:pPr>
            <w:r>
              <w:rPr>
                <w:rFonts w:ascii="Times New Roman" w:hAnsi="Times New Roman" w:eastAsia="Times New Roman"/>
                <w:sz w:val="18"/>
              </w:rPr>
              <w:t xml:space="preserve">Classify recipients from independent causal repertoires and weight classes, not nodes.</w:t>
            </w:r>
          </w:p>
        </w:tc>
      </w:tr>
      <w:tr>
        <w:trPr>
          <w:cantSplit/>
        </w:trPr>
        <w:tc>
          <w:tcPr>
            <w:tcW w:type="dxa" w:w="1685"/>
            <w:shd w:fill="EAF1F6" w:val="clear"/>
          </w:tcPr>
          <w:p>
            <w:pPr>
              <w:pStyle w:val="Compact"/>
              <w:spacing w:after="60"/>
            </w:pPr>
            <w:r>
              <w:rPr>
                <w:rFonts w:ascii="Times New Roman" w:hAnsi="Times New Roman" w:eastAsia="Times New Roman"/>
                <w:sz w:val="18"/>
              </w:rPr>
              <w:t xml:space="preserve">Nonexecutive / executive</w:t>
            </w:r>
          </w:p>
        </w:tc>
        <w:tc>
          <w:tcPr>
            <w:tcW w:type="dxa" w:w="3370"/>
            <w:shd w:fill="EAF1F6" w:val="clear"/>
          </w:tcPr>
          <w:p>
            <w:pPr>
              <w:pStyle w:val="Compact"/>
              <w:spacing w:after="60"/>
            </w:pPr>
            <w:r>
              <w:rPr>
                <w:rFonts w:ascii="Times New Roman" w:hAnsi="Times New Roman" w:eastAsia="Times New Roman"/>
                <w:sz w:val="18"/>
              </w:rPr>
              <w:t xml:space="preserve">Executive uptake is one optional recipient type.</w:t>
            </w:r>
          </w:p>
        </w:tc>
        <w:tc>
          <w:tcPr>
            <w:tcW w:type="dxa" w:w="4306"/>
            <w:shd w:fill="EAF1F6" w:val="clear"/>
          </w:tcPr>
          <w:p>
            <w:pPr>
              <w:pStyle w:val="Compact"/>
              <w:spacing w:after="60"/>
            </w:pPr>
            <w:r>
              <w:rPr>
                <w:rFonts w:ascii="Times New Roman" w:hAnsi="Times New Roman" w:eastAsia="Times New Roman"/>
                <w:sz w:val="18"/>
              </w:rPr>
              <w:t xml:space="preserve">Recompute the criterion with executive and report classes excluded.</w:t>
            </w:r>
          </w:p>
        </w:tc>
      </w:tr>
    </w:tbl>
    <w:bookmarkEnd w:id="21"/>
    <w:bookmarkEnd w:id="22"/>
    <w:bookmarkStart w:id="29" w:name="Xe7d98498168c189dd7c82dff4817e64b2f3aafe"/>
    <w:p>
      <w:pPr>
        <w:pStyle w:val="Heading2"/>
      </w:pPr>
      <w:r>
        <w:t xml:space="preserve">3. Desiderata for a Report-Independent Availability Criterion</w:t>
      </w:r>
    </w:p>
    <w:bookmarkStart w:id="23" w:name="Xc834a705d31f4799a6385c72eda74f7dda9360e"/>
    <w:p>
      <w:pPr>
        <w:pStyle w:val="Heading3"/>
      </w:pPr>
      <w:r>
        <w:t xml:space="preserve">3.1 Counterfactual but experimentally disciplined</w:t>
      </w:r>
    </w:p>
    <w:p>
      <w:pPr>
        <w:pStyle w:val="FirstParagraph"/>
      </w:pPr>
      <w:r>
        <w:t xml:space="preserve">The criterion must evaluate a disposition without licensing remote possible worlds. Recipient readiness may be probed only through preregistered, low-cost context changes that preserve the candidate’s identity, viability, and operating regime. A content is not available merely because a new controller, decoder, or long training procedure could make it so.</w:t>
      </w:r>
    </w:p>
    <w:bookmarkEnd w:id="23"/>
    <w:bookmarkStart w:id="24" w:name="content-specific"/>
    <w:p>
      <w:pPr>
        <w:pStyle w:val="Heading3"/>
      </w:pPr>
      <w:r>
        <w:t xml:space="preserve">3.2 Content-specific</w:t>
      </w:r>
    </w:p>
    <w:p>
      <w:pPr>
        <w:pStyle w:val="FirstParagraph"/>
      </w:pPr>
      <w:r>
        <w:t xml:space="preserve">The intervention must preserve or manipulate the content contrast rather than inject undifferentiated energy. A response to stimulation intensity alone does not demonstrate availability of the content.</w:t>
      </w:r>
    </w:p>
    <w:bookmarkEnd w:id="24"/>
    <w:bookmarkStart w:id="25" w:name="recipient-relative"/>
    <w:p>
      <w:pPr>
        <w:pStyle w:val="Heading3"/>
      </w:pPr>
      <w:r>
        <w:t xml:space="preserve">3.3 Recipient-relative</w:t>
      </w:r>
    </w:p>
    <w:p>
      <w:pPr>
        <w:pStyle w:val="FirstParagraph"/>
      </w:pPr>
      <w:r>
        <w:t xml:space="preserve">Different recipient classes can register modulation in different variables. A sensory comparator, orienting circuit, affective regulator, and motor planner need not share one output code. Each class requires a native, preregistered response variable and effect threshold.</w:t>
      </w:r>
    </w:p>
    <w:bookmarkEnd w:id="25"/>
    <w:bookmarkStart w:id="26" w:name="Xd43f96656c87fc811c4fdff392e4fe4f6e6fe98"/>
    <w:p>
      <w:pPr>
        <w:pStyle w:val="Heading3"/>
      </w:pPr>
      <w:r>
        <w:t xml:space="preserve">3.4 Independent of report and executive necessity</w:t>
      </w:r>
    </w:p>
    <w:p>
      <w:pPr>
        <w:pStyle w:val="FirstParagraph"/>
      </w:pPr>
      <w:r>
        <w:t xml:space="preserve">Neither a reporting module nor a domain-general controller may be mandatory. They can count as recipients when present, but the positive result must survive their removal from the required coverage calculation.</w:t>
      </w:r>
    </w:p>
    <w:bookmarkEnd w:id="26"/>
    <w:bookmarkStart w:id="27" w:name="X7a6157b9e97a300e5b256e127a0112ea7c6d7e2"/>
    <w:p>
      <w:pPr>
        <w:pStyle w:val="Heading3"/>
      </w:pPr>
      <w:r>
        <w:t xml:space="preserve">3.5 Resistant to parcellation and boundary flexibility</w:t>
      </w:r>
    </w:p>
    <w:p>
      <w:pPr>
        <w:pStyle w:val="FirstParagraph"/>
      </w:pPr>
      <w:r>
        <w:t xml:space="preserve">Recipient classes, thresholds, and weights must be frozen before the critical content test. Results must be stress-tested across reasonable grains and recipient taxonomies.</w:t>
      </w:r>
    </w:p>
    <w:bookmarkEnd w:id="27"/>
    <w:bookmarkStart w:id="28" w:name="Xd349c33bcce5a4bd183cf35f6efb90204d1b886"/>
    <w:p>
      <w:pPr>
        <w:pStyle w:val="Heading3"/>
      </w:pPr>
      <w:r>
        <w:t xml:space="preserve">3.6 Able to return indeterminacy and invalidity</w:t>
      </w:r>
    </w:p>
    <w:p>
      <w:pPr>
        <w:pStyle w:val="FirstParagraph"/>
      </w:pPr>
      <w:r>
        <w:t xml:space="preserve">Noisy effects, conflicting estimators, incomplete perturbation coverage, and failed system boundaries should remain visible. A permissive default would make</w:t>
      </w:r>
      <w:r>
        <w:t xml:space="preserve"> </w:t>
      </w:r>
      <m:oMath>
        <m:sSub>
          <m:e>
            <m:r>
              <m:t>N</m:t>
            </m:r>
          </m:e>
          <m:sub>
            <m:r>
              <m:t>2</m:t>
            </m:r>
          </m:sub>
        </m:sSub>
      </m:oMath>
      <w:r>
        <w:t xml:space="preserve"> </w:t>
      </w:r>
      <w:r>
        <w:t xml:space="preserve">unfalsifiable; a negative default would turn missing evidence into absence.</w:t>
      </w:r>
    </w:p>
    <w:bookmarkEnd w:id="28"/>
    <w:bookmarkEnd w:id="29"/>
    <w:bookmarkStart w:id="46" w:name="formal-framework"/>
    <w:p>
      <w:pPr>
        <w:pStyle w:val="Heading2"/>
      </w:pPr>
      <w:r>
        <w:t xml:space="preserve">4. Formal Framework</w:t>
      </w:r>
    </w:p>
    <w:bookmarkStart w:id="30" w:name="analysis-specification"/>
    <w:p>
      <w:pPr>
        <w:pStyle w:val="Heading3"/>
      </w:pPr>
      <w:r>
        <w:t xml:space="preserve">4.1 Analysis specification</w:t>
      </w:r>
    </w:p>
    <w:p>
      <w:pPr>
        <w:pStyle w:val="FirstParagraph"/>
      </w:pPr>
      <w:r>
        <w:t xml:space="preserve">Let a preregistered availability specification be</w:t>
      </w:r>
    </w:p>
    <w:p>
      <w:pPr>
        <w:pStyle w:val="BodyText"/>
      </w:pPr>
      <m:oMathPara>
        <m:oMathParaPr>
          <m:jc m:val="center"/>
        </m:oMathParaPr>
        <m:oMath>
          <m:sSub>
            <m:e>
              <m:r>
                <m:rPr>
                  <m:sty m:val="p"/>
                </m:rPr>
                <m:t>Θ</m:t>
              </m:r>
            </m:e>
            <m:sub>
              <m:r>
                <m:t>A</m:t>
              </m:r>
            </m:sub>
          </m:sSub>
          <m:r>
            <m:rPr>
              <m:sty m:val="p"/>
            </m:rPr>
            <m:t>=</m:t>
          </m:r>
          <m:r>
            <m:rPr>
              <m:sty m:val="p"/>
            </m:rPr>
            <m:t>(</m:t>
          </m:r>
          <m:r>
            <m:t>S</m:t>
          </m:r>
          <m:r>
            <m:rPr>
              <m:sty m:val="p"/>
            </m:rPr>
            <m:t>,</m:t>
          </m:r>
          <m:r>
            <m:t>g</m:t>
          </m:r>
          <m:r>
            <m:rPr>
              <m:sty m:val="p"/>
            </m:rPr>
            <m:t>,</m:t>
          </m:r>
          <m:r>
            <m:rPr>
              <m:sty m:val="p"/>
            </m:rPr>
            <m:t>Δ</m:t>
          </m:r>
          <m:r>
            <m:rPr>
              <m:sty m:val="p"/>
            </m:rPr>
            <m:t>,</m:t>
          </m:r>
          <m:r>
            <m:rPr>
              <m:scr m:val="script"/>
              <m:sty m:val="p"/>
            </m:rPr>
            <m:t>R</m:t>
          </m:r>
          <m:r>
            <m:rPr>
              <m:sty m:val="p"/>
            </m:rPr>
            <m:t>,</m:t>
          </m:r>
          <m:r>
            <m:t>c</m:t>
          </m:r>
          <m:r>
            <m:rPr>
              <m:sty m:val="p"/>
            </m:rPr>
            <m:t>,</m:t>
          </m:r>
          <m:sSub>
            <m:e>
              <m:r>
                <m:t>c</m:t>
              </m:r>
            </m:e>
            <m:sub>
              <m:r>
                <m:t>0</m:t>
              </m:r>
            </m:sub>
          </m:sSub>
          <m:r>
            <m:rPr>
              <m:sty m:val="p"/>
            </m:rPr>
            <m:t>,</m:t>
          </m:r>
          <m:r>
            <m:rPr>
              <m:scr m:val="script"/>
              <m:sty m:val="p"/>
            </m:rPr>
            <m:t>M</m:t>
          </m:r>
          <m:r>
            <m:rPr>
              <m:sty m:val="p"/>
            </m:rPr>
            <m:t>,</m:t>
          </m:r>
          <m:r>
            <m:rPr>
              <m:scr m:val="script"/>
              <m:sty m:val="p"/>
            </m:rPr>
            <m:t>U</m:t>
          </m:r>
          <m:r>
            <m:rPr>
              <m:sty m:val="p"/>
            </m:rPr>
            <m:t>,</m:t>
          </m:r>
          <m:r>
            <m:rPr>
              <m:scr m:val="script"/>
              <m:sty m:val="p"/>
            </m:rPr>
            <m:t>I</m:t>
          </m:r>
          <m:r>
            <m:rPr>
              <m:sty m:val="p"/>
            </m:rPr>
            <m:t>,</m:t>
          </m:r>
          <m:r>
            <m:t>d</m:t>
          </m:r>
          <m:r>
            <m:rPr>
              <m:sty m:val="p"/>
            </m:rPr>
            <m:t>,</m:t>
          </m:r>
          <m:r>
            <m:rPr>
              <m:sty m:val="p"/>
            </m:rPr>
            <m:t>Γ</m:t>
          </m:r>
          <m:r>
            <m:rPr>
              <m:sty m:val="p"/>
            </m:rPr>
            <m:t>,</m:t>
          </m:r>
          <m:r>
            <m:t>γ</m:t>
          </m:r>
          <m:r>
            <m:rPr>
              <m:sty m:val="p"/>
            </m:rPr>
            <m:t>,</m:t>
          </m:r>
          <m:r>
            <m:rPr>
              <m:sty m:val="bi"/>
            </m:rPr>
            <m:t>ν</m:t>
          </m:r>
          <m:r>
            <m:rPr>
              <m:sty m:val="p"/>
            </m:rPr>
            <m:t>,</m:t>
          </m:r>
          <m:sSub>
            <m:e>
              <m:r>
                <m:t>ρ</m:t>
              </m:r>
            </m:e>
            <m:sub>
              <m:r>
                <m:t>U</m:t>
              </m:r>
            </m:sub>
          </m:sSub>
          <m:r>
            <m:rPr>
              <m:sty m:val="p"/>
            </m:rPr>
            <m:t>,</m:t>
          </m:r>
          <m:r>
            <m:rPr>
              <m:sty m:val="bi"/>
            </m:rPr>
            <m:t>ϵ</m:t>
          </m:r>
          <m:r>
            <m:rPr>
              <m:sty m:val="p"/>
            </m:rPr>
            <m:t>,</m:t>
          </m:r>
          <m:r>
            <m:t>λ</m:t>
          </m:r>
          <m:r>
            <m:rPr>
              <m:sty m:val="p"/>
            </m:rPr>
            <m:t>,</m:t>
          </m:r>
          <m:r>
            <m:t>α</m:t>
          </m:r>
          <m:r>
            <m:rPr>
              <m:sty m:val="p"/>
            </m:rPr>
            <m:t>,</m:t>
          </m:r>
          <m:r>
            <m:t>m</m:t>
          </m:r>
          <m:r>
            <m:rPr>
              <m:sty m:val="p"/>
            </m:rPr>
            <m:t>,</m:t>
          </m:r>
          <m:r>
            <m:t>η</m:t>
          </m:r>
          <m:r>
            <m:rPr>
              <m:sty m:val="p"/>
            </m:rPr>
            <m:t>,</m:t>
          </m:r>
          <m:r>
            <m:t>s</m:t>
          </m:r>
          <m:r>
            <m:rPr>
              <m:sty m:val="p"/>
            </m:rPr>
            <m:t>,</m:t>
          </m:r>
          <m:r>
            <m:t>r</m:t>
          </m:r>
          <m:r>
            <m:rPr>
              <m:sty m:val="p"/>
            </m:rPr>
            <m:t>,</m:t>
          </m:r>
          <m:r>
            <m:t>β</m:t>
          </m:r>
          <m:r>
            <m:rPr>
              <m:sty m:val="p"/>
            </m:rPr>
            <m:t>)</m:t>
          </m:r>
          <m:r>
            <m:rPr>
              <m:sty m:val="p"/>
            </m:rPr>
            <m:t>.</m:t>
          </m:r>
        </m:oMath>
      </m:oMathPara>
    </w:p>
    <w:p>
      <w:pPr>
        <w:pStyle w:val="FirstParagraph"/>
      </w:pPr>
      <w:r>
        <w:rPr>
          <w:b/>
          <w:bCs/>
        </w:rPr>
        <w:t xml:space="preserve">Term-by-term annotation.</w:t>
      </w:r>
      <w:r>
        <w:t xml:space="preserve"> </w:t>
      </w:r>
      <m:oMath>
        <m:r>
          <m:t>S</m:t>
        </m:r>
      </m:oMath>
      <w:r>
        <w:t xml:space="preserve"> </w:t>
      </w:r>
      <w:r>
        <w:t xml:space="preserve">is the boundary-qualified candidate system;</w:t>
      </w:r>
      <w:r>
        <w:t xml:space="preserve"> </w:t>
      </w:r>
      <m:oMath>
        <m:r>
          <m:t>g</m:t>
        </m:r>
      </m:oMath>
      <w:r>
        <w:t xml:space="preserve"> </w:t>
      </w:r>
      <w:r>
        <w:t xml:space="preserve">is its grain;</w:t>
      </w:r>
      <w:r>
        <w:t xml:space="preserve"> </w:t>
      </w:r>
      <m:oMath>
        <m:r>
          <m:rPr>
            <m:sty m:val="p"/>
          </m:rPr>
          <m:t>Δ</m:t>
        </m:r>
      </m:oMath>
      <w:r>
        <w:t xml:space="preserve"> </w:t>
      </w:r>
      <w:r>
        <w:t xml:space="preserve">is the evaluation horizon;</w:t>
      </w:r>
      <w:r>
        <w:t xml:space="preserve"> </w:t>
      </w:r>
      <m:oMath>
        <m:r>
          <m:rPr>
            <m:scr m:val="script"/>
            <m:sty m:val="p"/>
          </m:rPr>
          <m:t>R</m:t>
        </m:r>
      </m:oMath>
      <w:r>
        <w:t xml:space="preserve"> </w:t>
      </w:r>
      <w:r>
        <w:t xml:space="preserve">is the operating regime;</w:t>
      </w:r>
      <w:r>
        <w:t xml:space="preserve"> </w:t>
      </w:r>
      <m:oMath>
        <m:r>
          <m:t>c</m:t>
        </m:r>
      </m:oMath>
      <w:r>
        <w:t xml:space="preserve"> </w:t>
      </w:r>
      <w:r>
        <w:t xml:space="preserve">is the target content and</w:t>
      </w:r>
      <w:r>
        <w:t xml:space="preserve"> </w:t>
      </w:r>
      <m:oMath>
        <m:sSub>
          <m:e>
            <m:r>
              <m:t>c</m:t>
            </m:r>
          </m:e>
          <m:sub>
            <m:r>
              <m:t>0</m:t>
            </m:r>
          </m:sub>
        </m:sSub>
      </m:oMath>
      <w:r>
        <w:t xml:space="preserve"> </w:t>
      </w:r>
      <w:r>
        <w:t xml:space="preserve">a matched control;</w:t>
      </w:r>
      <w:r>
        <w:t xml:space="preserve"> </w:t>
      </w:r>
      <m:oMath>
        <m:r>
          <m:rPr>
            <m:scr m:val="script"/>
            <m:sty m:val="p"/>
          </m:rPr>
          <m:t>M</m:t>
        </m:r>
      </m:oMath>
      <w:r>
        <w:t xml:space="preserve"> </w:t>
      </w:r>
      <w:r>
        <w:t xml:space="preserve">is the frozen recipient-class family;</w:t>
      </w:r>
      <w:r>
        <w:t xml:space="preserve"> </w:t>
      </w:r>
      <m:oMath>
        <m:r>
          <m:rPr>
            <m:scr m:val="script"/>
            <m:sty m:val="p"/>
          </m:rPr>
          <m:t>U</m:t>
        </m:r>
      </m:oMath>
      <w:r>
        <w:t xml:space="preserve"> </w:t>
      </w:r>
      <w:r>
        <w:t xml:space="preserve">is the candidate nearby-context family;</w:t>
      </w:r>
      <w:r>
        <w:t xml:space="preserve"> </w:t>
      </w:r>
      <m:oMath>
        <m:r>
          <m:rPr>
            <m:scr m:val="script"/>
            <m:sty m:val="p"/>
          </m:rPr>
          <m:t>I</m:t>
        </m:r>
      </m:oMath>
      <w:r>
        <w:t xml:space="preserve"> </w:t>
      </w:r>
      <w:r>
        <w:t xml:space="preserve">is the intervention family; and</w:t>
      </w:r>
      <w:r>
        <w:t xml:space="preserve"> </w:t>
      </w:r>
      <m:oMath>
        <m:r>
          <m:t>d</m:t>
        </m:r>
      </m:oMath>
      <w:r>
        <w:t xml:space="preserve"> </w:t>
      </w:r>
      <w:r>
        <w:t xml:space="preserve">is the response-distance function.</w:t>
      </w:r>
      <w:r>
        <w:t xml:space="preserve"> </w:t>
      </w:r>
      <m:oMath>
        <m:r>
          <m:rPr>
            <m:sty m:val="p"/>
          </m:rPr>
          <m:t>Γ</m:t>
        </m:r>
      </m:oMath>
      <w:r>
        <w:t xml:space="preserve"> </w:t>
      </w:r>
      <w:r>
        <w:t xml:space="preserve">measures the burden of preparing a context and</w:t>
      </w:r>
      <w:r>
        <w:t xml:space="preserve"> </w:t>
      </w:r>
      <m:oMath>
        <m:r>
          <m:t>γ</m:t>
        </m:r>
      </m:oMath>
      <w:r>
        <w:t xml:space="preserve"> </w:t>
      </w:r>
      <w:r>
        <w:t xml:space="preserve">is its maximum admissible value.</w:t>
      </w:r>
      <w:r>
        <w:t xml:space="preserve"> </w:t>
      </w:r>
      <m:oMath>
        <m:r>
          <m:rPr>
            <m:sty m:val="bi"/>
          </m:rPr>
          <m:t>ν</m:t>
        </m:r>
        <m:r>
          <m:rPr>
            <m:sty m:val="p"/>
          </m:rPr>
          <m:t>=</m:t>
        </m:r>
        <m:r>
          <m:rPr>
            <m:sty m:val="p"/>
          </m:rPr>
          <m:t>(</m:t>
        </m:r>
        <m:sSub>
          <m:e>
            <m:r>
              <m:t>ν</m:t>
            </m:r>
          </m:e>
          <m:sub>
            <m:r>
              <m:t>1</m:t>
            </m:r>
          </m:sub>
        </m:sSub>
        <m:r>
          <m:rPr>
            <m:sty m:val="p"/>
          </m:rPr>
          <m:t>,</m:t>
        </m:r>
        <m:r>
          <m:rPr>
            <m:sty m:val="p"/>
          </m:rPr>
          <m:t>…</m:t>
        </m:r>
        <m:r>
          <m:rPr>
            <m:sty m:val="p"/>
          </m:rPr>
          <m:t>,</m:t>
        </m:r>
        <m:sSub>
          <m:e>
            <m:r>
              <m:t>ν</m:t>
            </m:r>
          </m:e>
          <m:sub>
            <m:r>
              <m:t>K</m:t>
            </m:r>
          </m:sub>
        </m:sSub>
        <m:r>
          <m:rPr>
            <m:sty m:val="p"/>
          </m:rPr>
          <m:t>)</m:t>
        </m:r>
      </m:oMath>
      <w:r>
        <w:t xml:space="preserve"> </w:t>
      </w:r>
      <w:r>
        <w:t xml:space="preserve">contains preregistered context distributions and</w:t>
      </w:r>
      <w:r>
        <w:t xml:space="preserve"> </w:t>
      </w:r>
      <m:oMath>
        <m:sSub>
          <m:e>
            <m:r>
              <m:t>ρ</m:t>
            </m:r>
          </m:e>
          <m:sub>
            <m:r>
              <m:t>U</m:t>
            </m:r>
          </m:sub>
        </m:sSub>
      </m:oMath>
      <w:r>
        <w:t xml:space="preserve"> </w:t>
      </w:r>
      <w:r>
        <w:t xml:space="preserve">is the minimum context mass on which a recipient must remain reachable.</w:t>
      </w:r>
      <w:r>
        <w:t xml:space="preserve"> </w:t>
      </w:r>
      <m:oMath>
        <m:r>
          <m:rPr>
            <m:sty m:val="bi"/>
          </m:rPr>
          <m:t>ϵ</m:t>
        </m:r>
      </m:oMath>
      <w:r>
        <w:t xml:space="preserve"> </w:t>
      </w:r>
      <w:r>
        <w:t xml:space="preserve">contains class-specific causal-effect thresholds;</w:t>
      </w:r>
      <w:r>
        <w:t xml:space="preserve"> </w:t>
      </w:r>
      <m:oMath>
        <m:r>
          <m:t>λ</m:t>
        </m:r>
      </m:oMath>
      <w:r>
        <w:t xml:space="preserve"> </w:t>
      </w:r>
      <w:r>
        <w:t xml:space="preserve">is the maximum latency;</w:t>
      </w:r>
      <w:r>
        <w:t xml:space="preserve"> </w:t>
      </w:r>
      <m:oMath>
        <m:r>
          <m:t>α</m:t>
        </m:r>
      </m:oMath>
      <w:r>
        <w:t xml:space="preserve"> </w:t>
      </w:r>
      <w:r>
        <w:t xml:space="preserve">is weighted coverage;</w:t>
      </w:r>
      <w:r>
        <w:t xml:space="preserve"> </w:t>
      </w:r>
      <m:oMath>
        <m:r>
          <m:t>m</m:t>
        </m:r>
      </m:oMath>
      <w:r>
        <w:t xml:space="preserve"> </w:t>
      </w:r>
      <w:r>
        <w:t xml:space="preserve">is the minimum number of distinct classes;</w:t>
      </w:r>
      <w:r>
        <w:t xml:space="preserve"> </w:t>
      </w:r>
      <m:oMath>
        <m:r>
          <m:t>η</m:t>
        </m:r>
      </m:oMath>
      <w:r>
        <w:t xml:space="preserve"> </w:t>
      </w:r>
      <w:r>
        <w:t xml:space="preserve">is the diversity threshold;</w:t>
      </w:r>
      <w:r>
        <w:t xml:space="preserve"> </w:t>
      </w:r>
      <m:oMath>
        <m:r>
          <m:t>s</m:t>
        </m:r>
      </m:oMath>
      <w:r>
        <w:t xml:space="preserve"> </w:t>
      </w:r>
      <w:r>
        <w:t xml:space="preserve">and</w:t>
      </w:r>
      <w:r>
        <w:t xml:space="preserve"> </w:t>
      </w:r>
      <m:oMath>
        <m:r>
          <m:t>r</m:t>
        </m:r>
      </m:oMath>
      <w:r>
        <w:t xml:space="preserve"> </w:t>
      </w:r>
      <w:r>
        <w:t xml:space="preserve">are content-selectivity and routing thresholds; and</w:t>
      </w:r>
      <w:r>
        <w:t xml:space="preserve"> </w:t>
      </w:r>
      <m:oMath>
        <m:r>
          <m:t>β</m:t>
        </m:r>
      </m:oMath>
      <w:r>
        <w:t xml:space="preserve"> </w:t>
      </w:r>
      <w:r>
        <w:t xml:space="preserve">fixes the uncertainty procedure.</w:t>
      </w:r>
    </w:p>
    <w:p>
      <w:pPr>
        <w:pStyle w:val="BodyText"/>
      </w:pPr>
      <w:r>
        <w:t xml:space="preserve">No term may be selected after inspecting the final</w:t>
      </w:r>
      <w:r>
        <w:t xml:space="preserve"> </w:t>
      </w:r>
      <m:oMath>
        <m:sSub>
          <m:e>
            <m:r>
              <m:t>N</m:t>
            </m:r>
          </m:e>
          <m:sub>
            <m:r>
              <m:t>2</m:t>
            </m:r>
          </m:sub>
        </m:sSub>
      </m:oMath>
      <w:r>
        <w:t xml:space="preserve"> </w:t>
      </w:r>
      <w:r>
        <w:t xml:space="preserve">outcome. If</w:t>
      </w:r>
      <w:r>
        <w:t xml:space="preserve"> </w:t>
      </w:r>
      <m:oMath>
        <m:r>
          <m:t>S</m:t>
        </m:r>
      </m:oMath>
      <w:r>
        <w:t xml:space="preserve"> </w:t>
      </w:r>
      <w:r>
        <w:t xml:space="preserve">is unstable or unlicensed, the availability result is also unlicensed because</w:t>
      </w:r>
      <w:r>
        <w:t xml:space="preserve"> </w:t>
      </w:r>
      <w:r>
        <w:t xml:space="preserve">“system-wide”</w:t>
      </w:r>
      <w:r>
        <w:t xml:space="preserve"> </w:t>
      </w:r>
      <w:r>
        <w:t xml:space="preserve">lacks a stable referent.</w:t>
      </w:r>
    </w:p>
    <w:bookmarkEnd w:id="30"/>
    <w:bookmarkStart w:id="31" w:name="X88809d75f0a1e7e017f462ab935c09e3eb01650"/>
    <w:p>
      <w:pPr>
        <w:pStyle w:val="Heading3"/>
      </w:pPr>
      <w:r>
        <w:t xml:space="preserve">4.2 Independently individuating recipient classes</w:t>
      </w:r>
    </w:p>
    <w:p>
      <w:pPr>
        <w:pStyle w:val="FirstParagraph"/>
      </w:pPr>
      <w:r>
        <w:t xml:space="preserve">Let</w:t>
      </w:r>
      <w:r>
        <w:t xml:space="preserve"> </w:t>
      </w:r>
      <m:oMath>
        <m:sSub>
          <m:e>
            <m:r>
              <m:t>M</m:t>
            </m:r>
          </m:e>
          <m:sub>
            <m:r>
              <m:t>1</m:t>
            </m:r>
          </m:sub>
        </m:sSub>
        <m:r>
          <m:rPr>
            <m:sty m:val="p"/>
          </m:rPr>
          <m:t>,</m:t>
        </m:r>
        <m:r>
          <m:rPr>
            <m:sty m:val="p"/>
          </m:rPr>
          <m:t>…</m:t>
        </m:r>
        <m:r>
          <m:rPr>
            <m:sty m:val="p"/>
          </m:rPr>
          <m:t>,</m:t>
        </m:r>
        <m:sSub>
          <m:e>
            <m:r>
              <m:t>M</m:t>
            </m:r>
          </m:e>
          <m:sub>
            <m:r>
              <m:t>J</m:t>
            </m:r>
          </m:sub>
        </m:sSub>
      </m:oMath>
      <w:r>
        <w:t xml:space="preserve"> </w:t>
      </w:r>
      <w:r>
        <w:t xml:space="preserve">be provisional modules within</w:t>
      </w:r>
      <w:r>
        <w:t xml:space="preserve"> </w:t>
      </w:r>
      <m:oMath>
        <m:r>
          <m:t>S</m:t>
        </m:r>
      </m:oMath>
      <w:r>
        <w:t xml:space="preserve">. For calibration interventions</w:t>
      </w:r>
      <w:r>
        <w:t xml:space="preserve"> </w:t>
      </w:r>
      <m:oMath>
        <m:r>
          <m:t>z</m:t>
        </m:r>
        <m:r>
          <m:rPr>
            <m:sty m:val="p"/>
          </m:rPr>
          <m:t>∈</m:t>
        </m:r>
        <m:sSub>
          <m:e>
            <m:r>
              <m:rPr>
                <m:scr m:val="script"/>
                <m:sty m:val="p"/>
              </m:rPr>
              <m:t>I</m:t>
            </m:r>
          </m:e>
          <m:sub>
            <m:r>
              <m:rPr>
                <m:sty m:val="p"/>
              </m:rPr>
              <m:t>c</m:t>
            </m:r>
            <m:r>
              <m:rPr>
                <m:sty m:val="p"/>
              </m:rPr>
              <m:t>a</m:t>
            </m:r>
            <m:r>
              <m:rPr>
                <m:sty m:val="p"/>
              </m:rPr>
              <m:t>l</m:t>
            </m:r>
          </m:sub>
        </m:sSub>
      </m:oMath>
      <w:r>
        <w:t xml:space="preserve"> </w:t>
      </w:r>
      <w:r>
        <w:t xml:space="preserve">that do not use the target content, define the causal response repertoire of module</w:t>
      </w:r>
      <w:r>
        <w:t xml:space="preserve"> </w:t>
      </w:r>
      <m:oMath>
        <m:sSub>
          <m:e>
            <m:r>
              <m:t>M</m:t>
            </m:r>
          </m:e>
          <m:sub>
            <m:r>
              <m:t>j</m:t>
            </m:r>
          </m:sub>
        </m:sSub>
      </m:oMath>
      <w:r>
        <w:t xml:space="preserve"> </w:t>
      </w:r>
      <w:r>
        <w:t xml:space="preserve">as</w:t>
      </w:r>
    </w:p>
    <w:p>
      <w:pPr>
        <w:pStyle w:val="BodyText"/>
      </w:pPr>
      <m:oMathPara>
        <m:oMathParaPr>
          <m:jc m:val="center"/>
        </m:oMathParaPr>
        <m:oMath>
          <m:r>
            <m:rPr>
              <m:scr m:val="script"/>
              <m:sty m:val="p"/>
            </m:rPr>
            <m:t>Q</m:t>
          </m:r>
          <m:r>
            <m:rPr>
              <m:sty m:val="p"/>
            </m:rPr>
            <m:t>(</m:t>
          </m:r>
          <m:sSub>
            <m:e>
              <m:r>
                <m:t>M</m:t>
              </m:r>
            </m:e>
            <m:sub>
              <m:r>
                <m:t>j</m:t>
              </m:r>
            </m:sub>
          </m:sSub>
          <m:r>
            <m:rPr>
              <m:sty m:val="p"/>
            </m:rPr>
            <m:t>)</m:t>
          </m:r>
          <m:r>
            <m:rPr>
              <m:sty m:val="p"/>
            </m:rPr>
            <m:t>=</m:t>
          </m:r>
          <m:d>
            <m:dPr>
              <m:begChr m:val="{"/>
              <m:sepChr m:val=""/>
              <m:endChr m:val="}"/>
              <m:grow/>
            </m:dPr>
            <m:e>
              <m:r>
                <m:t>P</m:t>
              </m:r>
              <m:r>
                <m:rPr>
                  <m:sty m:val="p"/>
                </m:rPr>
                <m:t>(</m:t>
              </m:r>
              <m:sSubSup>
                <m:e>
                  <m:r>
                    <m:t>Y</m:t>
                  </m:r>
                </m:e>
                <m:sub>
                  <m:r>
                    <m:t>j</m:t>
                  </m:r>
                </m:sub>
                <m:sup>
                  <m:r>
                    <m:t>z</m:t>
                  </m:r>
                </m:sup>
              </m:sSubSup>
              <m:r>
                <m:rPr>
                  <m:sty m:val="p"/>
                </m:rPr>
                <m:t>(</m:t>
              </m:r>
              <m:r>
                <m:t>t</m:t>
              </m:r>
              <m:r>
                <m:rPr>
                  <m:sty m:val="p"/>
                </m:rPr>
                <m:t>:</m:t>
              </m:r>
              <m:r>
                <m:t>t</m:t>
              </m:r>
              <m:r>
                <m:rPr>
                  <m:sty m:val="p"/>
                </m:rPr>
                <m:t>+</m:t>
              </m:r>
              <m:r>
                <m:rPr>
                  <m:sty m:val="p"/>
                </m:rPr>
                <m:t>Δ</m:t>
              </m:r>
              <m:r>
                <m:rPr>
                  <m:sty m:val="p"/>
                </m:rPr>
                <m:t>)</m:t>
              </m:r>
              <m:r>
                <m:rPr>
                  <m:sty m:val="p"/>
                </m:rPr>
                <m:t>∣</m:t>
              </m:r>
              <m:r>
                <m:t>d</m:t>
              </m:r>
              <m:r>
                <m:t>o</m:t>
              </m:r>
              <m:r>
                <m:rPr>
                  <m:sty m:val="p"/>
                </m:rPr>
                <m:t>(</m:t>
              </m:r>
              <m:r>
                <m:t>Z</m:t>
              </m:r>
              <m:r>
                <m:rPr>
                  <m:sty m:val="p"/>
                </m:rPr>
                <m:t>=</m:t>
              </m:r>
              <m:r>
                <m:t>z</m:t>
              </m:r>
              <m:r>
                <m:rPr>
                  <m:sty m:val="p"/>
                </m:rPr>
                <m:t>)</m:t>
              </m:r>
              <m:r>
                <m:rPr>
                  <m:sty m:val="p"/>
                </m:rPr>
                <m:t>,</m:t>
              </m:r>
              <m:r>
                <m:rPr>
                  <m:scr m:val="script"/>
                  <m:sty m:val="p"/>
                </m:rPr>
                <m:t>R</m:t>
              </m:r>
              <m:r>
                <m:rPr>
                  <m:sty m:val="p"/>
                </m:rPr>
                <m:t>)</m:t>
              </m:r>
              <m:r>
                <m:rPr>
                  <m:sty m:val="p"/>
                </m:rPr>
                <m:t>:</m:t>
              </m:r>
              <m:r>
                <m:t>z</m:t>
              </m:r>
              <m:r>
                <m:rPr>
                  <m:sty m:val="p"/>
                </m:rPr>
                <m:t>∈</m:t>
              </m:r>
              <m:sSub>
                <m:e>
                  <m:r>
                    <m:rPr>
                      <m:scr m:val="script"/>
                      <m:sty m:val="p"/>
                    </m:rPr>
                    <m:t>I</m:t>
                  </m:r>
                </m:e>
                <m:sub>
                  <m:r>
                    <m:rPr>
                      <m:sty m:val="p"/>
                    </m:rPr>
                    <m:t>c</m:t>
                  </m:r>
                  <m:r>
                    <m:rPr>
                      <m:sty m:val="p"/>
                    </m:rPr>
                    <m:t>a</m:t>
                  </m:r>
                  <m:r>
                    <m:rPr>
                      <m:sty m:val="p"/>
                    </m:rPr>
                    <m:t>l</m:t>
                  </m:r>
                </m:sub>
              </m:sSub>
            </m:e>
          </m:d>
          <m:r>
            <m:rPr>
              <m:sty m:val="p"/>
            </m:rPr>
            <m:t>.</m:t>
          </m:r>
        </m:oMath>
      </m:oMathPara>
    </w:p>
    <w:p>
      <w:pPr>
        <w:pStyle w:val="FirstParagraph"/>
      </w:pPr>
      <w:r>
        <w:rPr>
          <w:b/>
          <w:bCs/>
        </w:rPr>
        <w:t xml:space="preserve">Annotation.</w:t>
      </w:r>
      <w:r>
        <w:t xml:space="preserve"> </w:t>
      </w:r>
      <m:oMath>
        <m:sSubSup>
          <m:e>
            <m:r>
              <m:t>Y</m:t>
            </m:r>
          </m:e>
          <m:sub>
            <m:r>
              <m:t>j</m:t>
            </m:r>
          </m:sub>
          <m:sup>
            <m:r>
              <m:t>z</m:t>
            </m:r>
          </m:sup>
        </m:sSubSup>
      </m:oMath>
      <w:r>
        <w:t xml:space="preserve"> </w:t>
      </w:r>
      <w:r>
        <w:t xml:space="preserve">is a vector of native module variables, not necessarily behavior. The repertoire records how the module responds across a calibration family. Clustering may merge several provisional modules into one recipient class. Two resulting classes are functionally distinct only if a preregistered repertoire distance between their class-level summaries exceeds a threshold</w:t>
      </w:r>
      <w:r>
        <w:t xml:space="preserve"> </w:t>
      </w:r>
      <m:oMath>
        <m:r>
          <m:t>ξ</m:t>
        </m:r>
      </m:oMath>
      <w:r>
        <w:t xml:space="preserve"> </w:t>
      </w:r>
      <w:r>
        <w:t xml:space="preserve">with adequate reliability. Clustering and the value of</w:t>
      </w:r>
      <w:r>
        <w:t xml:space="preserve"> </w:t>
      </w:r>
      <m:oMath>
        <m:r>
          <m:t>ξ</m:t>
        </m:r>
      </m:oMath>
      <w:r>
        <w:t xml:space="preserve"> </w:t>
      </w:r>
      <w:r>
        <w:t xml:space="preserve">are frozen before testing</w:t>
      </w:r>
      <w:r>
        <w:t xml:space="preserve"> </w:t>
      </w:r>
      <m:oMath>
        <m:r>
          <m:t>c</m:t>
        </m:r>
      </m:oMath>
      <w:r>
        <w:t xml:space="preserve">.</w:t>
      </w:r>
    </w:p>
    <w:p>
      <w:pPr>
        <w:pStyle w:val="BodyText"/>
      </w:pPr>
      <w:r>
        <w:t xml:space="preserve">The resulting class family is</w:t>
      </w:r>
    </w:p>
    <w:p>
      <w:pPr>
        <w:pStyle w:val="BodyText"/>
      </w:pPr>
      <m:oMathPara>
        <m:oMathParaPr>
          <m:jc m:val="center"/>
        </m:oMathParaPr>
        <m:oMath>
          <m:sSub>
            <m:e>
              <m:r>
                <m:rPr>
                  <m:scr m:val="script"/>
                  <m:sty m:val="p"/>
                </m:rPr>
                <m:t>M</m:t>
              </m:r>
            </m:e>
            <m:sub>
              <m:r>
                <m:rPr>
                  <m:sty m:val="p"/>
                </m:rPr>
                <m:t>Θ</m:t>
              </m:r>
            </m:sub>
          </m:sSub>
          <m:r>
            <m:rPr>
              <m:sty m:val="p"/>
            </m:rPr>
            <m:t>=</m:t>
          </m:r>
          <m:r>
            <m:rPr>
              <m:sty m:val="p"/>
            </m:rPr>
            <m:t>{</m:t>
          </m:r>
          <m:sSub>
            <m:e>
              <m:r>
                <m:rPr>
                  <m:scr m:val="script"/>
                  <m:sty m:val="p"/>
                </m:rPr>
                <m:t>C</m:t>
              </m:r>
            </m:e>
            <m:sub>
              <m:r>
                <m:t>1</m:t>
              </m:r>
            </m:sub>
          </m:sSub>
          <m:r>
            <m:rPr>
              <m:sty m:val="p"/>
            </m:rPr>
            <m:t>,</m:t>
          </m:r>
          <m:r>
            <m:rPr>
              <m:sty m:val="p"/>
            </m:rPr>
            <m:t>…</m:t>
          </m:r>
          <m:r>
            <m:rPr>
              <m:sty m:val="p"/>
            </m:rPr>
            <m:t>,</m:t>
          </m:r>
          <m:sSub>
            <m:e>
              <m:r>
                <m:rPr>
                  <m:scr m:val="script"/>
                  <m:sty m:val="p"/>
                </m:rPr>
                <m:t>C</m:t>
              </m:r>
            </m:e>
            <m:sub>
              <m:r>
                <m:t>K</m:t>
              </m:r>
            </m:sub>
          </m:sSub>
          <m:r>
            <m:rPr>
              <m:sty m:val="p"/>
            </m:rPr>
            <m:t>}</m:t>
          </m:r>
          <m:r>
            <m:rPr>
              <m:sty m:val="p"/>
            </m:rPr>
            <m:t>,</m:t>
          </m:r>
          <m:r>
            <m:t>  </m:t>
          </m:r>
          <m:sSub>
            <m:e>
              <m:r>
                <m:t>d</m:t>
              </m:r>
            </m:e>
            <m:sub>
              <m:r>
                <m:t>Q</m:t>
              </m:r>
            </m:sub>
          </m:sSub>
          <m:r>
            <m:rPr>
              <m:sty m:val="p"/>
            </m:rPr>
            <m:t>(</m:t>
          </m:r>
          <m:sSub>
            <m:e>
              <m:r>
                <m:rPr>
                  <m:scr m:val="script"/>
                  <m:sty m:val="p"/>
                </m:rPr>
                <m:t>C</m:t>
              </m:r>
            </m:e>
            <m:sub>
              <m:r>
                <m:t>i</m:t>
              </m:r>
            </m:sub>
          </m:sSub>
          <m:r>
            <m:rPr>
              <m:sty m:val="p"/>
            </m:rPr>
            <m:t>,</m:t>
          </m:r>
          <m:sSub>
            <m:e>
              <m:r>
                <m:rPr>
                  <m:scr m:val="script"/>
                  <m:sty m:val="p"/>
                </m:rPr>
                <m:t>C</m:t>
              </m:r>
            </m:e>
            <m:sub>
              <m:r>
                <m:t>j</m:t>
              </m:r>
            </m:sub>
          </m:sSub>
          <m:r>
            <m:rPr>
              <m:sty m:val="p"/>
            </m:rPr>
            <m:t>)</m:t>
          </m:r>
          <m:r>
            <m:rPr>
              <m:sty m:val="p"/>
            </m:rPr>
            <m:t>≥</m:t>
          </m:r>
          <m:r>
            <m:t>ξ</m:t>
          </m:r>
          <m:r>
            <m:t> </m:t>
          </m:r>
          <m:r>
            <m:rPr>
              <m:nor/>
              <m:sty m:val="p"/>
            </m:rPr>
            <m:t>for</m:t>
          </m:r>
          <m:r>
            <m:t> </m:t>
          </m:r>
          <m:r>
            <m:t>i</m:t>
          </m:r>
          <m:r>
            <m:rPr>
              <m:sty m:val="p"/>
            </m:rPr>
            <m:t>≠</m:t>
          </m:r>
          <m:r>
            <m:t>j</m:t>
          </m:r>
          <m:r>
            <m:rPr>
              <m:sty m:val="p"/>
            </m:rPr>
            <m:t>.</m:t>
          </m:r>
        </m:oMath>
      </m:oMathPara>
    </w:p>
    <w:p>
      <w:pPr>
        <w:pStyle w:val="FirstParagraph"/>
      </w:pPr>
      <w:r>
        <w:rPr>
          <w:b/>
          <w:bCs/>
        </w:rPr>
        <w:t xml:space="preserve">Plain-language reading.</w:t>
      </w:r>
      <w:r>
        <w:t xml:space="preserve"> </w:t>
      </w:r>
      <w:r>
        <w:t xml:space="preserve">Recipient diversity is earned by different causal repertoires, not by different names, coordinates, or parcel IDs. If two groups differ only because the analyst subdivided one homogeneous process, they should remain one class.</w:t>
      </w:r>
    </w:p>
    <w:bookmarkEnd w:id="31"/>
    <w:bookmarkStart w:id="32" w:name="content-specific-causal-modulation"/>
    <w:p>
      <w:pPr>
        <w:pStyle w:val="Heading3"/>
      </w:pPr>
      <w:r>
        <w:t xml:space="preserve">4.3 Content-specific causal modulation</w:t>
      </w:r>
    </w:p>
    <w:p>
      <w:pPr>
        <w:pStyle w:val="FirstParagraph"/>
      </w:pPr>
      <w:r>
        <w:t xml:space="preserve">Let</w:t>
      </w:r>
      <w:r>
        <w:t xml:space="preserve"> </w:t>
      </w:r>
      <m:oMath>
        <m:sSub>
          <m:e>
            <m:r>
              <m:t>u</m:t>
            </m:r>
          </m:e>
          <m:sub>
            <m:r>
              <m:t>0</m:t>
            </m:r>
          </m:sub>
        </m:sSub>
      </m:oMath>
      <w:r>
        <w:t xml:space="preserve"> </w:t>
      </w:r>
      <w:r>
        <w:t xml:space="preserve">be the naturally realized or experimentally standard baseline context. For class</w:t>
      </w:r>
      <w:r>
        <w:t xml:space="preserve"> </w:t>
      </w:r>
      <m:oMath>
        <m:r>
          <m:t>k</m:t>
        </m:r>
      </m:oMath>
      <w:r>
        <w:t xml:space="preserve">, define the admissible subset</w:t>
      </w:r>
    </w:p>
    <w:p>
      <w:pPr>
        <w:pStyle w:val="BodyText"/>
      </w:pPr>
      <m:oMathPara>
        <m:oMathParaPr>
          <m:jc m:val="center"/>
        </m:oMathParaPr>
        <m:oMath>
          <m:sSubSup>
            <m:e>
              <m:r>
                <m:rPr>
                  <m:scr m:val="script"/>
                  <m:sty m:val="p"/>
                </m:rPr>
                <m:t>U</m:t>
              </m:r>
            </m:e>
            <m:sub>
              <m:r>
                <m:t>k</m:t>
              </m:r>
            </m:sub>
            <m:sup>
              <m:r>
                <m:t>γ</m:t>
              </m:r>
            </m:sup>
          </m:sSubSup>
          <m:r>
            <m:rPr>
              <m:sty m:val="p"/>
            </m:rPr>
            <m:t>=</m:t>
          </m:r>
          <m:d>
            <m:dPr>
              <m:begChr m:val="{"/>
              <m:sepChr m:val=""/>
              <m:endChr m:val="}"/>
              <m:grow/>
            </m:dPr>
            <m:e>
              <m:r>
                <m:t>u</m:t>
              </m:r>
              <m:r>
                <m:rPr>
                  <m:sty m:val="p"/>
                </m:rPr>
                <m:t>∈</m:t>
              </m:r>
              <m:sSub>
                <m:e>
                  <m:r>
                    <m:rPr>
                      <m:scr m:val="script"/>
                      <m:sty m:val="p"/>
                    </m:rPr>
                    <m:t>U</m:t>
                  </m:r>
                </m:e>
                <m:sub>
                  <m:r>
                    <m:t>k</m:t>
                  </m:r>
                </m:sub>
              </m:sSub>
              <m:r>
                <m:rPr>
                  <m:sty m:val="p"/>
                </m:rPr>
                <m:t>:</m:t>
              </m:r>
              <m:r>
                <m:rPr>
                  <m:sty m:val="p"/>
                </m:rPr>
                <m:t>Γ</m:t>
              </m:r>
              <m:r>
                <m:rPr>
                  <m:sty m:val="p"/>
                </m:rPr>
                <m:t>(</m:t>
              </m:r>
              <m:r>
                <m:t>u</m:t>
              </m:r>
              <m:r>
                <m:rPr>
                  <m:sty m:val="p"/>
                </m:rPr>
                <m:t>,</m:t>
              </m:r>
              <m:sSub>
                <m:e>
                  <m:r>
                    <m:t>u</m:t>
                  </m:r>
                </m:e>
                <m:sub>
                  <m:r>
                    <m:t>0</m:t>
                  </m:r>
                </m:sub>
              </m:sSub>
              <m:r>
                <m:rPr>
                  <m:sty m:val="p"/>
                </m:rPr>
                <m:t>)</m:t>
              </m:r>
              <m:r>
                <m:rPr>
                  <m:sty m:val="p"/>
                </m:rPr>
                <m:t>≤</m:t>
              </m:r>
              <m:r>
                <m:t>γ</m:t>
              </m:r>
              <m:r>
                <m:rPr>
                  <m:sty m:val="p"/>
                </m:rPr>
                <m:t>,</m:t>
              </m:r>
              <m:r>
                <m:rPr>
                  <m:sty m:val="p"/>
                </m:rPr>
                <m:t>Regime</m:t>
              </m:r>
              <m:r>
                <m:rPr>
                  <m:sty m:val="p"/>
                </m:rPr>
                <m:t>(</m:t>
              </m:r>
              <m:r>
                <m:t>u</m:t>
              </m:r>
              <m:r>
                <m:rPr>
                  <m:sty m:val="p"/>
                </m:rPr>
                <m:t>)</m:t>
              </m:r>
              <m:r>
                <m:rPr>
                  <m:sty m:val="p"/>
                </m:rPr>
                <m:t>=</m:t>
              </m:r>
              <m:r>
                <m:rPr>
                  <m:scr m:val="script"/>
                  <m:sty m:val="p"/>
                </m:rPr>
                <m:t>R</m:t>
              </m:r>
              <m:r>
                <m:rPr>
                  <m:sty m:val="p"/>
                </m:rPr>
                <m:t>,</m:t>
              </m:r>
              <m:r>
                <m:rPr>
                  <m:sty m:val="p"/>
                </m:rPr>
                <m:t>NewRoute</m:t>
              </m:r>
              <m:r>
                <m:rPr>
                  <m:sty m:val="p"/>
                </m:rPr>
                <m:t>(</m:t>
              </m:r>
              <m:r>
                <m:t>u</m:t>
              </m:r>
              <m:r>
                <m:rPr>
                  <m:sty m:val="p"/>
                </m:rPr>
                <m:t>)</m:t>
              </m:r>
              <m:r>
                <m:rPr>
                  <m:sty m:val="p"/>
                </m:rPr>
                <m:t>=</m:t>
              </m:r>
              <m:r>
                <m:t>0</m:t>
              </m:r>
            </m:e>
          </m:d>
          <m:r>
            <m:rPr>
              <m:sty m:val="p"/>
            </m:rPr>
            <m:t>.</m:t>
          </m:r>
        </m:oMath>
      </m:oMathPara>
    </w:p>
    <w:p>
      <w:pPr>
        <w:pStyle w:val="FirstParagraph"/>
      </w:pPr>
      <w:r>
        <w:rPr>
          <w:b/>
          <w:bCs/>
        </w:rPr>
        <w:t xml:space="preserve">Annotation.</w:t>
      </w:r>
      <w:r>
        <w:t xml:space="preserve"> </w:t>
      </w:r>
      <m:oMath>
        <m:r>
          <m:rPr>
            <m:sty m:val="p"/>
          </m:rPr>
          <m:t>Γ</m:t>
        </m:r>
      </m:oMath>
      <w:r>
        <w:t xml:space="preserve"> </w:t>
      </w:r>
      <w:r>
        <w:t xml:space="preserve">is a preregistered burden functional over preparation time, training, energy, controller involvement, and structural change. It is calibrated to the system under study rather than compared raw across organisms and machines. The regime term requires the same relevant arousal, viability, and dynamical mode; the final term prohibits installing a new communication route. If</w:t>
      </w:r>
      <w:r>
        <w:t xml:space="preserve"> </w:t>
      </w:r>
      <m:oMath>
        <m:sSubSup>
          <m:e>
            <m:r>
              <m:rPr>
                <m:scr m:val="script"/>
                <m:sty m:val="p"/>
              </m:rPr>
              <m:t>U</m:t>
            </m:r>
          </m:e>
          <m:sub>
            <m:r>
              <m:t>k</m:t>
            </m:r>
          </m:sub>
          <m:sup>
            <m:r>
              <m:t>γ</m:t>
            </m:r>
          </m:sup>
        </m:sSubSup>
      </m:oMath>
      <w:r>
        <w:t xml:space="preserve"> </w:t>
      </w:r>
      <w:r>
        <w:t xml:space="preserve">is empty or cannot be validated, the counterfactual claim for class</w:t>
      </w:r>
      <w:r>
        <w:t xml:space="preserve"> </w:t>
      </w:r>
      <m:oMath>
        <m:r>
          <m:t>k</m:t>
        </m:r>
      </m:oMath>
      <w:r>
        <w:t xml:space="preserve"> </w:t>
      </w:r>
      <w:r>
        <w:t xml:space="preserve">is unlicensed, not negative.</w:t>
      </w:r>
    </w:p>
    <w:p>
      <w:pPr>
        <w:pStyle w:val="BodyText"/>
      </w:pPr>
      <w:r>
        <w:t xml:space="preserve">Let</w:t>
      </w:r>
      <w:r>
        <w:t xml:space="preserve"> </w:t>
      </w:r>
      <m:oMath>
        <m:sSub>
          <m:e>
            <m:r>
              <m:t>X</m:t>
            </m:r>
          </m:e>
          <m:sub>
            <m:r>
              <m:t>c</m:t>
            </m:r>
          </m:sub>
        </m:sSub>
      </m:oMath>
      <w:r>
        <w:t xml:space="preserve"> </w:t>
      </w:r>
      <w:r>
        <w:t xml:space="preserve">denote the content-bearing state variables for</w:t>
      </w:r>
      <w:r>
        <w:t xml:space="preserve"> </w:t>
      </w:r>
      <m:oMath>
        <m:r>
          <m:t>c</m:t>
        </m:r>
      </m:oMath>
      <w:r>
        <w:t xml:space="preserve">. For recipient class</w:t>
      </w:r>
      <w:r>
        <w:t xml:space="preserve"> </w:t>
      </w:r>
      <m:oMath>
        <m:sSub>
          <m:e>
            <m:r>
              <m:rPr>
                <m:scr m:val="script"/>
                <m:sty m:val="p"/>
              </m:rPr>
              <m:t>C</m:t>
            </m:r>
          </m:e>
          <m:sub>
            <m:r>
              <m:t>k</m:t>
            </m:r>
          </m:sub>
        </m:sSub>
      </m:oMath>
      <w:r>
        <w:t xml:space="preserve">, admissible context</w:t>
      </w:r>
      <w:r>
        <w:t xml:space="preserve"> </w:t>
      </w:r>
      <m:oMath>
        <m:r>
          <m:t>u</m:t>
        </m:r>
        <m:r>
          <m:rPr>
            <m:sty m:val="p"/>
          </m:rPr>
          <m:t>∈</m:t>
        </m:r>
        <m:sSubSup>
          <m:e>
            <m:r>
              <m:rPr>
                <m:scr m:val="script"/>
                <m:sty m:val="p"/>
              </m:rPr>
              <m:t>U</m:t>
            </m:r>
          </m:e>
          <m:sub>
            <m:r>
              <m:t>k</m:t>
            </m:r>
          </m:sub>
          <m:sup>
            <m:r>
              <m:t>γ</m:t>
            </m:r>
          </m:sup>
        </m:sSubSup>
      </m:oMath>
      <w:r>
        <w:t xml:space="preserve">, and latency</w:t>
      </w:r>
      <w:r>
        <w:t xml:space="preserve"> </w:t>
      </w:r>
      <m:oMath>
        <m:r>
          <m:t>τ</m:t>
        </m:r>
      </m:oMath>
      <w:r>
        <w:t xml:space="preserve">, define</w:t>
      </w:r>
    </w:p>
    <w:p>
      <w:pPr>
        <w:pStyle w:val="BodyText"/>
      </w:pPr>
      <m:oMathPara>
        <m:oMathParaPr>
          <m:jc m:val="center"/>
        </m:oMathParaPr>
        <m:oMath>
          <m:sSub>
            <m:e>
              <m:r>
                <m:t>E</m:t>
              </m:r>
            </m:e>
            <m:sub>
              <m:r>
                <m:t>k</m:t>
              </m:r>
              <m:r>
                <m:rPr>
                  <m:sty m:val="p"/>
                </m:rPr>
                <m:t>,</m:t>
              </m:r>
              <m:r>
                <m:t>u</m:t>
              </m:r>
            </m:sub>
          </m:sSub>
          <m:r>
            <m:rPr>
              <m:sty m:val="p"/>
            </m:rPr>
            <m:t>(</m:t>
          </m:r>
          <m:r>
            <m:t>c</m:t>
          </m:r>
          <m:r>
            <m:rPr>
              <m:sty m:val="p"/>
            </m:rPr>
            <m:t>,</m:t>
          </m:r>
          <m:r>
            <m:t>τ</m:t>
          </m:r>
          <m:r>
            <m:rPr>
              <m:sty m:val="p"/>
            </m:rPr>
            <m:t>)</m:t>
          </m:r>
          <m:r>
            <m:rPr>
              <m:sty m:val="p"/>
            </m:rPr>
            <m:t>=</m:t>
          </m:r>
          <m:sSub>
            <m:e>
              <m:r>
                <m:t>d</m:t>
              </m:r>
            </m:e>
            <m:sub>
              <m:r>
                <m:t>k</m:t>
              </m:r>
            </m:sub>
          </m:sSub>
          <m:r>
            <m:t>​</m:t>
          </m:r>
          <m:d>
            <m:dPr>
              <m:begChr m:val="("/>
              <m:sepChr m:val=""/>
              <m:endChr m:val=")"/>
              <m:grow/>
            </m:dPr>
            <m:e>
              <m:r>
                <m:t>P</m:t>
              </m:r>
              <m:r>
                <m:rPr>
                  <m:sty m:val="p"/>
                </m:rPr>
                <m:t>(</m:t>
              </m:r>
              <m:sSub>
                <m:e>
                  <m:r>
                    <m:t>Y</m:t>
                  </m:r>
                </m:e>
                <m:sub>
                  <m:r>
                    <m:t>k</m:t>
                  </m:r>
                  <m:r>
                    <m:rPr>
                      <m:sty m:val="p"/>
                    </m:rPr>
                    <m:t>,</m:t>
                  </m:r>
                  <m:r>
                    <m:t>t</m:t>
                  </m:r>
                  <m:r>
                    <m:rPr>
                      <m:sty m:val="p"/>
                    </m:rPr>
                    <m:t>+</m:t>
                  </m:r>
                  <m:r>
                    <m:t>τ</m:t>
                  </m:r>
                </m:sub>
              </m:sSub>
              <m:r>
                <m:rPr>
                  <m:sty m:val="p"/>
                </m:rPr>
                <m:t>∣</m:t>
              </m:r>
              <m:r>
                <m:t>d</m:t>
              </m:r>
              <m:r>
                <m:t>o</m:t>
              </m:r>
              <m:r>
                <m:rPr>
                  <m:sty m:val="p"/>
                </m:rPr>
                <m:t>(</m:t>
              </m:r>
              <m:sSub>
                <m:e>
                  <m:r>
                    <m:t>X</m:t>
                  </m:r>
                </m:e>
                <m:sub>
                  <m:r>
                    <m:t>c</m:t>
                  </m:r>
                  <m:r>
                    <m:rPr>
                      <m:sty m:val="p"/>
                    </m:rPr>
                    <m:t>,</m:t>
                  </m:r>
                  <m:r>
                    <m:t>t</m:t>
                  </m:r>
                </m:sub>
              </m:sSub>
              <m:r>
                <m:rPr>
                  <m:sty m:val="p"/>
                </m:rPr>
                <m:t>=</m:t>
              </m:r>
              <m:sSub>
                <m:e>
                  <m:r>
                    <m:t>x</m:t>
                  </m:r>
                </m:e>
                <m:sub>
                  <m:r>
                    <m:t>c</m:t>
                  </m:r>
                </m:sub>
              </m:sSub>
              <m:r>
                <m:rPr>
                  <m:sty m:val="p"/>
                </m:rPr>
                <m:t>)</m:t>
              </m:r>
              <m:r>
                <m:rPr>
                  <m:sty m:val="p"/>
                </m:rPr>
                <m:t>,</m:t>
              </m:r>
              <m:r>
                <m:t>d</m:t>
              </m:r>
              <m:r>
                <m:t>o</m:t>
              </m:r>
              <m:r>
                <m:rPr>
                  <m:sty m:val="p"/>
                </m:rPr>
                <m:t>(</m:t>
              </m:r>
              <m:r>
                <m:t>U</m:t>
              </m:r>
              <m:r>
                <m:rPr>
                  <m:sty m:val="p"/>
                </m:rPr>
                <m:t>=</m:t>
              </m:r>
              <m:r>
                <m:t>u</m:t>
              </m:r>
              <m:r>
                <m:rPr>
                  <m:sty m:val="p"/>
                </m:rPr>
                <m:t>)</m:t>
              </m:r>
              <m:r>
                <m:rPr>
                  <m:sty m:val="p"/>
                </m:rPr>
                <m:t>,</m:t>
              </m:r>
              <m:r>
                <m:rPr>
                  <m:scr m:val="script"/>
                  <m:sty m:val="p"/>
                </m:rPr>
                <m:t>R</m:t>
              </m:r>
              <m:r>
                <m:rPr>
                  <m:sty m:val="p"/>
                </m:rPr>
                <m:t>)</m:t>
              </m:r>
              <m:r>
                <m:rPr>
                  <m:sty m:val="p"/>
                </m:rPr>
                <m:t>,</m:t>
              </m:r>
              <m:r>
                <m:t>P</m:t>
              </m:r>
              <m:r>
                <m:rPr>
                  <m:sty m:val="p"/>
                </m:rPr>
                <m:t>(</m:t>
              </m:r>
              <m:sSub>
                <m:e>
                  <m:r>
                    <m:t>Y</m:t>
                  </m:r>
                </m:e>
                <m:sub>
                  <m:r>
                    <m:t>k</m:t>
                  </m:r>
                  <m:r>
                    <m:rPr>
                      <m:sty m:val="p"/>
                    </m:rPr>
                    <m:t>,</m:t>
                  </m:r>
                  <m:r>
                    <m:t>t</m:t>
                  </m:r>
                  <m:r>
                    <m:rPr>
                      <m:sty m:val="p"/>
                    </m:rPr>
                    <m:t>+</m:t>
                  </m:r>
                  <m:r>
                    <m:t>τ</m:t>
                  </m:r>
                </m:sub>
              </m:sSub>
              <m:r>
                <m:rPr>
                  <m:sty m:val="p"/>
                </m:rPr>
                <m:t>∣</m:t>
              </m:r>
              <m:r>
                <m:t>d</m:t>
              </m:r>
              <m:r>
                <m:t>o</m:t>
              </m:r>
              <m:r>
                <m:rPr>
                  <m:sty m:val="p"/>
                </m:rPr>
                <m:t>(</m:t>
              </m:r>
              <m:sSub>
                <m:e>
                  <m:r>
                    <m:t>X</m:t>
                  </m:r>
                </m:e>
                <m:sub>
                  <m:r>
                    <m:t>c</m:t>
                  </m:r>
                  <m:r>
                    <m:rPr>
                      <m:sty m:val="p"/>
                    </m:rPr>
                    <m:t>,</m:t>
                  </m:r>
                  <m:r>
                    <m:t>t</m:t>
                  </m:r>
                </m:sub>
              </m:sSub>
              <m:r>
                <m:rPr>
                  <m:sty m:val="p"/>
                </m:rPr>
                <m:t>=</m:t>
              </m:r>
              <m:sSub>
                <m:e>
                  <m:r>
                    <m:t>x</m:t>
                  </m:r>
                </m:e>
                <m:sub>
                  <m:sSub>
                    <m:e>
                      <m:r>
                        <m:t>c</m:t>
                      </m:r>
                    </m:e>
                    <m:sub>
                      <m:r>
                        <m:t>0</m:t>
                      </m:r>
                    </m:sub>
                  </m:sSub>
                </m:sub>
              </m:sSub>
              <m:r>
                <m:rPr>
                  <m:sty m:val="p"/>
                </m:rPr>
                <m:t>)</m:t>
              </m:r>
              <m:r>
                <m:rPr>
                  <m:sty m:val="p"/>
                </m:rPr>
                <m:t>,</m:t>
              </m:r>
              <m:r>
                <m:t>d</m:t>
              </m:r>
              <m:r>
                <m:t>o</m:t>
              </m:r>
              <m:r>
                <m:rPr>
                  <m:sty m:val="p"/>
                </m:rPr>
                <m:t>(</m:t>
              </m:r>
              <m:r>
                <m:t>U</m:t>
              </m:r>
              <m:r>
                <m:rPr>
                  <m:sty m:val="p"/>
                </m:rPr>
                <m:t>=</m:t>
              </m:r>
              <m:r>
                <m:t>u</m:t>
              </m:r>
              <m:r>
                <m:rPr>
                  <m:sty m:val="p"/>
                </m:rPr>
                <m:t>)</m:t>
              </m:r>
              <m:r>
                <m:rPr>
                  <m:sty m:val="p"/>
                </m:rPr>
                <m:t>,</m:t>
              </m:r>
              <m:r>
                <m:rPr>
                  <m:scr m:val="script"/>
                  <m:sty m:val="p"/>
                </m:rPr>
                <m:t>R</m:t>
              </m:r>
              <m:r>
                <m:rPr>
                  <m:sty m:val="p"/>
                </m:rPr>
                <m:t>)</m:t>
              </m:r>
            </m:e>
          </m:d>
          <m:r>
            <m:rPr>
              <m:sty m:val="p"/>
            </m:rPr>
            <m:t>.</m:t>
          </m:r>
        </m:oMath>
      </m:oMathPara>
    </w:p>
    <w:p>
      <w:pPr>
        <w:pStyle w:val="FirstParagraph"/>
      </w:pPr>
      <w:r>
        <w:rPr>
          <w:b/>
          <w:bCs/>
        </w:rPr>
        <w:t xml:space="preserve">Annotation.</w:t>
      </w:r>
      <w:r>
        <w:t xml:space="preserve"> </w:t>
      </w:r>
      <w:r>
        <w:t xml:space="preserve">The two intervention arms differ in content while matching intensity, duration, spatial support, and nonspecific state change. A separate source-fidelity check must verify that the manipulation preserves the intended</w:t>
      </w:r>
      <w:r>
        <w:t xml:space="preserve"> </w:t>
      </w:r>
      <m:oMath>
        <m:r>
          <m:t>c</m:t>
        </m:r>
      </m:oMath>
      <w:r>
        <w:t xml:space="preserve"> </w:t>
      </w:r>
      <w:r>
        <w:t xml:space="preserve">versus</w:t>
      </w:r>
      <w:r>
        <w:t xml:space="preserve"> </w:t>
      </w:r>
      <m:oMath>
        <m:sSub>
          <m:e>
            <m:r>
              <m:t>c</m:t>
            </m:r>
          </m:e>
          <m:sub>
            <m:r>
              <m:t>0</m:t>
            </m:r>
          </m:sub>
        </m:sSub>
      </m:oMath>
      <w:r>
        <w:t xml:space="preserve"> </w:t>
      </w:r>
      <w:r>
        <w:t xml:space="preserve">contrast; otherwise the intervention creates an uninterpretable signal rather than testing availability.</w:t>
      </w:r>
      <w:r>
        <w:t xml:space="preserve"> </w:t>
      </w:r>
      <m:oMath>
        <m:sSub>
          <m:e>
            <m:r>
              <m:t>d</m:t>
            </m:r>
          </m:e>
          <m:sub>
            <m:r>
              <m:t>k</m:t>
            </m:r>
          </m:sub>
        </m:sSub>
      </m:oMath>
      <w:r>
        <w:t xml:space="preserve"> </w:t>
      </w:r>
      <w:r>
        <w:t xml:space="preserve">can be a distributional, decoding, state-transition, or causal-response distance validated for that recipient class. The effect concerns a class-native internal state transition. It does not require a report, choice, memory trace, or motor action.</w:t>
      </w:r>
    </w:p>
    <w:p>
      <w:pPr>
        <w:pStyle w:val="BodyText"/>
      </w:pPr>
      <w:r>
        <w:t xml:space="preserve">The directly manipulated dimensions of</w:t>
      </w:r>
      <w:r>
        <w:t xml:space="preserve"> </w:t>
      </w:r>
      <m:oMath>
        <m:sSub>
          <m:e>
            <m:r>
              <m:t>X</m:t>
            </m:r>
          </m:e>
          <m:sub>
            <m:r>
              <m:t>c</m:t>
            </m:r>
          </m:sub>
        </m:sSub>
      </m:oMath>
      <w:r>
        <w:t xml:space="preserve"> </w:t>
      </w:r>
      <w:r>
        <w:t xml:space="preserve">are excluded from</w:t>
      </w:r>
      <w:r>
        <w:t xml:space="preserve"> </w:t>
      </w:r>
      <m:oMath>
        <m:sSub>
          <m:e>
            <m:r>
              <m:t>Y</m:t>
            </m:r>
          </m:e>
          <m:sub>
            <m:r>
              <m:t>k</m:t>
            </m:r>
          </m:sub>
        </m:sSub>
      </m:oMath>
      <w:r>
        <w:t xml:space="preserve">. A source module may count as a recipient only when an independently defined, downstream role is measured with source-only leakage controls and held-out preprocessing. This blocks the trivial result in which the intervention is rediscovered at its own injection site.</w:t>
      </w:r>
    </w:p>
    <w:p>
      <w:pPr>
        <w:pStyle w:val="BodyText"/>
      </w:pPr>
      <w:r>
        <w:t xml:space="preserve">The use of</w:t>
      </w:r>
      <w:r>
        <w:t xml:space="preserve"> </w:t>
      </w:r>
      <m:oMath>
        <m:r>
          <m:t>d</m:t>
        </m:r>
        <m:r>
          <m:t>o</m:t>
        </m:r>
        <m:r>
          <m:rPr>
            <m:sty m:val="p"/>
          </m:rPr>
          <m:t>(</m:t>
        </m:r>
        <m:r>
          <m:rPr>
            <m:sty m:val="p"/>
          </m:rPr>
          <m:t>⋅</m:t>
        </m:r>
        <m:r>
          <m:rPr>
            <m:sty m:val="p"/>
          </m:rPr>
          <m:t>)</m:t>
        </m:r>
      </m:oMath>
      <w:r>
        <w:t xml:space="preserve"> </w:t>
      </w:r>
      <w:r>
        <w:t xml:space="preserve">makes the causal claim explicit: the target is a contrast between intervention distributions, not a conditional association in observed data (Pearl, 2009).</w:t>
      </w:r>
    </w:p>
    <w:p>
      <w:pPr>
        <w:pStyle w:val="BodyText"/>
      </w:pPr>
      <w:r>
        <w:t xml:space="preserve">The class-level effect and latency are</w:t>
      </w:r>
    </w:p>
    <w:p>
      <w:pPr>
        <w:pStyle w:val="BodyText"/>
      </w:pPr>
      <m:oMathPara>
        <m:oMathParaPr>
          <m:jc m:val="center"/>
        </m:oMathParaPr>
        <m:oMath>
          <m:sSubSup>
            <m:e>
              <m:r>
                <m:t>E</m:t>
              </m:r>
            </m:e>
            <m:sub>
              <m:r>
                <m:t>k</m:t>
              </m:r>
            </m:sub>
            <m:sup>
              <m:r>
                <m:rPr>
                  <m:sty m:val="p"/>
                </m:rPr>
                <m:t>*</m:t>
              </m:r>
            </m:sup>
          </m:sSubSup>
          <m:r>
            <m:rPr>
              <m:sty m:val="p"/>
            </m:rPr>
            <m:t>(</m:t>
          </m:r>
          <m:r>
            <m:t>c</m:t>
          </m:r>
          <m:r>
            <m:rPr>
              <m:sty m:val="p"/>
            </m:rPr>
            <m:t>)</m:t>
          </m:r>
          <m:r>
            <m:rPr>
              <m:sty m:val="p"/>
            </m:rPr>
            <m:t>=</m:t>
          </m:r>
          <m:limLow>
            <m:e>
              <m:r>
                <m:rPr>
                  <m:sty m:val="p"/>
                </m:rPr>
                <m:t>max</m:t>
              </m:r>
            </m:e>
            <m:lim>
              <m:r>
                <m:t>u</m:t>
              </m:r>
              <m:r>
                <m:rPr>
                  <m:sty m:val="p"/>
                </m:rPr>
                <m:t>∈</m:t>
              </m:r>
              <m:sSubSup>
                <m:e>
                  <m:r>
                    <m:rPr>
                      <m:scr m:val="script"/>
                      <m:sty m:val="p"/>
                    </m:rPr>
                    <m:t>U</m:t>
                  </m:r>
                </m:e>
                <m:sub>
                  <m:r>
                    <m:t>k</m:t>
                  </m:r>
                </m:sub>
                <m:sup>
                  <m:r>
                    <m:t>γ</m:t>
                  </m:r>
                </m:sup>
              </m:sSubSup>
            </m:lim>
          </m:limLow>
          <m:limLow>
            <m:e>
              <m:r>
                <m:rPr>
                  <m:sty m:val="p"/>
                </m:rPr>
                <m:t>max</m:t>
              </m:r>
            </m:e>
            <m:lim>
              <m:r>
                <m:t>0</m:t>
              </m:r>
              <m:r>
                <m:rPr>
                  <m:sty m:val="p"/>
                </m:rPr>
                <m:t>≤</m:t>
              </m:r>
              <m:r>
                <m:t>τ</m:t>
              </m:r>
              <m:r>
                <m:rPr>
                  <m:sty m:val="p"/>
                </m:rPr>
                <m:t>≤</m:t>
              </m:r>
              <m:r>
                <m:rPr>
                  <m:sty m:val="p"/>
                </m:rPr>
                <m:t>Δ</m:t>
              </m:r>
            </m:lim>
          </m:limLow>
          <m:sSub>
            <m:e>
              <m:r>
                <m:t>E</m:t>
              </m:r>
            </m:e>
            <m:sub>
              <m:r>
                <m:t>k</m:t>
              </m:r>
              <m:r>
                <m:rPr>
                  <m:sty m:val="p"/>
                </m:rPr>
                <m:t>,</m:t>
              </m:r>
              <m:r>
                <m:t>u</m:t>
              </m:r>
            </m:sub>
          </m:sSub>
          <m:r>
            <m:rPr>
              <m:sty m:val="p"/>
            </m:rPr>
            <m:t>(</m:t>
          </m:r>
          <m:r>
            <m:t>c</m:t>
          </m:r>
          <m:r>
            <m:rPr>
              <m:sty m:val="p"/>
            </m:rPr>
            <m:t>,</m:t>
          </m:r>
          <m:r>
            <m:t>τ</m:t>
          </m:r>
          <m:r>
            <m:rPr>
              <m:sty m:val="p"/>
            </m:rPr>
            <m:t>)</m:t>
          </m:r>
          <m:r>
            <m:rPr>
              <m:sty m:val="p"/>
            </m:rPr>
            <m:t>,</m:t>
          </m:r>
        </m:oMath>
      </m:oMathPara>
    </w:p>
    <w:p>
      <w:pPr>
        <w:pStyle w:val="FirstParagraph"/>
      </w:pPr>
      <m:oMathPara>
        <m:oMathParaPr>
          <m:jc m:val="center"/>
        </m:oMathParaPr>
        <m:oMath>
          <m:sSub>
            <m:e>
              <m:r>
                <m:t>L</m:t>
              </m:r>
            </m:e>
            <m:sub>
              <m:r>
                <m:t>k</m:t>
              </m:r>
            </m:sub>
          </m:sSub>
          <m:r>
            <m:rPr>
              <m:sty m:val="p"/>
            </m:rPr>
            <m:t>(</m:t>
          </m:r>
          <m:r>
            <m:t>c</m:t>
          </m:r>
          <m:r>
            <m:rPr>
              <m:sty m:val="p"/>
            </m:rPr>
            <m:t>)</m:t>
          </m:r>
          <m:r>
            <m:rPr>
              <m:sty m:val="p"/>
            </m:rPr>
            <m:t>=</m:t>
          </m:r>
          <m:r>
            <m:rPr>
              <m:sty m:val="p"/>
            </m:rPr>
            <m:t>min</m:t>
          </m:r>
          <m:d>
            <m:dPr>
              <m:begChr m:val="{"/>
              <m:sepChr m:val=""/>
              <m:endChr m:val="}"/>
              <m:grow/>
            </m:dPr>
            <m:e>
              <m:r>
                <m:t>τ</m:t>
              </m:r>
              <m:r>
                <m:rPr>
                  <m:sty m:val="p"/>
                </m:rPr>
                <m:t>:</m:t>
              </m:r>
              <m:r>
                <m:rPr>
                  <m:sty m:val="p"/>
                </m:rPr>
                <m:t>∃</m:t>
              </m:r>
              <m:r>
                <m:t>u</m:t>
              </m:r>
              <m:r>
                <m:rPr>
                  <m:sty m:val="p"/>
                </m:rPr>
                <m:t>∈</m:t>
              </m:r>
              <m:sSubSup>
                <m:e>
                  <m:r>
                    <m:rPr>
                      <m:scr m:val="script"/>
                      <m:sty m:val="p"/>
                    </m:rPr>
                    <m:t>U</m:t>
                  </m:r>
                </m:e>
                <m:sub>
                  <m:r>
                    <m:t>k</m:t>
                  </m:r>
                </m:sub>
                <m:sup>
                  <m:r>
                    <m:t>γ</m:t>
                  </m:r>
                </m:sup>
              </m:sSubSup>
              <m:r>
                <m:rPr>
                  <m:sty m:val="p"/>
                </m:rPr>
                <m:t>,</m:t>
              </m:r>
              <m:sSub>
                <m:e>
                  <m:r>
                    <m:t>E</m:t>
                  </m:r>
                </m:e>
                <m:sub>
                  <m:r>
                    <m:t>k</m:t>
                  </m:r>
                  <m:r>
                    <m:rPr>
                      <m:sty m:val="p"/>
                    </m:rPr>
                    <m:t>,</m:t>
                  </m:r>
                  <m:r>
                    <m:t>u</m:t>
                  </m:r>
                </m:sub>
              </m:sSub>
              <m:r>
                <m:rPr>
                  <m:sty m:val="p"/>
                </m:rPr>
                <m:t>(</m:t>
              </m:r>
              <m:r>
                <m:t>c</m:t>
              </m:r>
              <m:r>
                <m:rPr>
                  <m:sty m:val="p"/>
                </m:rPr>
                <m:t>,</m:t>
              </m:r>
              <m:r>
                <m:t>τ</m:t>
              </m:r>
              <m:r>
                <m:rPr>
                  <m:sty m:val="p"/>
                </m:rPr>
                <m:t>)</m:t>
              </m:r>
              <m:r>
                <m:rPr>
                  <m:sty m:val="p"/>
                </m:rPr>
                <m:t>≥</m:t>
              </m:r>
              <m:sSub>
                <m:e>
                  <m:r>
                    <m:t>ϵ</m:t>
                  </m:r>
                </m:e>
                <m:sub>
                  <m:r>
                    <m:t>k</m:t>
                  </m:r>
                </m:sub>
              </m:sSub>
            </m:e>
          </m:d>
          <m:r>
            <m:rPr>
              <m:sty m:val="p"/>
            </m:rPr>
            <m:t>.</m:t>
          </m:r>
        </m:oMath>
      </m:oMathPara>
    </w:p>
    <w:p>
      <w:pPr>
        <w:pStyle w:val="FirstParagraph"/>
      </w:pPr>
      <w:r>
        <w:rPr>
          <w:b/>
          <w:bCs/>
        </w:rPr>
        <w:t xml:space="preserve">Annotation.</w:t>
      </w:r>
      <w:r>
        <w:t xml:space="preserve"> </w:t>
      </w:r>
      <w:r>
        <w:t xml:space="preserve">The maxima summarize the best response within the already bounded family; they do not by themselves establish robust availability. Section 4.6 adds a minimum context-mass gate so that a single convenient setup cannot carry the result. The latency clock begins at the content intervention, not at a later report cue. If no qualifying effect occurs,</w:t>
      </w:r>
      <w:r>
        <w:t xml:space="preserve"> </w:t>
      </w:r>
      <m:oMath>
        <m:sSub>
          <m:e>
            <m:r>
              <m:t>L</m:t>
            </m:r>
          </m:e>
          <m:sub>
            <m:r>
              <m:t>k</m:t>
            </m:r>
          </m:sub>
        </m:sSub>
        <m:r>
          <m:rPr>
            <m:sty m:val="p"/>
          </m:rPr>
          <m:t>=</m:t>
        </m:r>
        <m:r>
          <m:rPr>
            <m:sty m:val="p"/>
          </m:rPr>
          <m:t>∞</m:t>
        </m:r>
      </m:oMath>
      <w:r>
        <w:t xml:space="preserve">.</w:t>
      </w:r>
    </w:p>
    <w:bookmarkEnd w:id="32"/>
    <w:bookmarkStart w:id="36" w:name="X0749074293c0374e52e738f187e8737b5e7cb50"/>
    <w:p>
      <w:pPr>
        <w:pStyle w:val="Heading3"/>
      </w:pPr>
      <w:r>
        <w:t xml:space="preserve">4.4 Why actual activation is neither necessary nor sufficient</w:t>
      </w:r>
    </w:p>
    <w:p>
      <w:pPr>
        <w:pStyle w:val="FirstParagraph"/>
      </w:pPr>
      <w:r>
        <w:t xml:space="preserve">Let</w:t>
      </w:r>
      <w:r>
        <w:t xml:space="preserve"> </w:t>
      </w:r>
      <m:oMath>
        <m:sSub>
          <m:e>
            <m:r>
              <m:t>A</m:t>
            </m:r>
          </m:e>
          <m:sub>
            <m:r>
              <m:t>k</m:t>
            </m:r>
          </m:sub>
        </m:sSub>
        <m:r>
          <m:rPr>
            <m:sty m:val="p"/>
          </m:rPr>
          <m:t>(</m:t>
        </m:r>
        <m:r>
          <m:t>c</m:t>
        </m:r>
        <m:r>
          <m:rPr>
            <m:sty m:val="p"/>
          </m:rPr>
          <m:t>,</m:t>
        </m:r>
        <m:r>
          <m:t>t</m:t>
        </m:r>
        <m:r>
          <m:rPr>
            <m:sty m:val="p"/>
          </m:rPr>
          <m:t>)</m:t>
        </m:r>
      </m:oMath>
      <w:r>
        <w:t xml:space="preserve"> </w:t>
      </w:r>
      <w:r>
        <w:t xml:space="preserve">indicate whether class</w:t>
      </w:r>
      <w:r>
        <w:t xml:space="preserve"> </w:t>
      </w:r>
      <m:oMath>
        <m:r>
          <m:t>k</m:t>
        </m:r>
      </m:oMath>
      <w:r>
        <w:t xml:space="preserve"> </w:t>
      </w:r>
      <w:r>
        <w:t xml:space="preserve">is observably active on an unperturbed trial. The framework does not define availability as</w:t>
      </w:r>
      <w:r>
        <w:t xml:space="preserve"> </w:t>
      </w:r>
      <m:oMath>
        <m:sSub>
          <m:e>
            <m:r>
              <m:t>A</m:t>
            </m:r>
          </m:e>
          <m:sub>
            <m:r>
              <m:t>k</m:t>
            </m:r>
          </m:sub>
        </m:sSub>
        <m:r>
          <m:rPr>
            <m:sty m:val="p"/>
          </m:rPr>
          <m:t>=</m:t>
        </m:r>
        <m:r>
          <m:t>1</m:t>
        </m:r>
      </m:oMath>
      <w:r>
        <w:t xml:space="preserve">. Instead,</w:t>
      </w:r>
    </w:p>
    <w:p>
      <w:pPr>
        <w:pStyle w:val="BodyText"/>
      </w:pPr>
      <m:oMathPara>
        <m:oMathParaPr>
          <m:jc m:val="center"/>
        </m:oMathParaPr>
        <m:oMath>
          <m:sSub>
            <m:e>
              <m:r>
                <m:t>A</m:t>
              </m:r>
            </m:e>
            <m:sub>
              <m:r>
                <m:t>k</m:t>
              </m:r>
            </m:sub>
          </m:sSub>
          <m:r>
            <m:rPr>
              <m:sty m:val="p"/>
            </m:rPr>
            <m:t>(</m:t>
          </m:r>
          <m:r>
            <m:t>c</m:t>
          </m:r>
          <m:r>
            <m:rPr>
              <m:sty m:val="p"/>
            </m:rPr>
            <m:t>,</m:t>
          </m:r>
          <m:r>
            <m:t>t</m:t>
          </m:r>
          <m:r>
            <m:rPr>
              <m:sty m:val="p"/>
            </m:rPr>
            <m:t>)</m:t>
          </m:r>
          <m:r>
            <m:rPr>
              <m:sty m:val="p"/>
            </m:rPr>
            <m:t>=</m:t>
          </m:r>
          <m:r>
            <m:t>0</m:t>
          </m:r>
          <m:r>
            <m:t> </m:t>
          </m:r>
          <m:r>
            <m:rPr>
              <m:sty m:val="p"/>
            </m:rPr>
            <m:t>⇏</m:t>
          </m:r>
          <m:r>
            <m:t> </m:t>
          </m:r>
          <m:sSubSup>
            <m:e>
              <m:r>
                <m:t>E</m:t>
              </m:r>
            </m:e>
            <m:sub>
              <m:r>
                <m:t>k</m:t>
              </m:r>
            </m:sub>
            <m:sup>
              <m:r>
                <m:rPr>
                  <m:sty m:val="p"/>
                </m:rPr>
                <m:t>*</m:t>
              </m:r>
            </m:sup>
          </m:sSubSup>
          <m:r>
            <m:rPr>
              <m:sty m:val="p"/>
            </m:rPr>
            <m:t>(</m:t>
          </m:r>
          <m:r>
            <m:t>c</m:t>
          </m:r>
          <m:r>
            <m:rPr>
              <m:sty m:val="p"/>
            </m:rPr>
            <m:t>)</m:t>
          </m:r>
          <m:r>
            <m:rPr>
              <m:sty m:val="p"/>
            </m:rPr>
            <m:t>&lt;</m:t>
          </m:r>
          <m:sSub>
            <m:e>
              <m:r>
                <m:t>ϵ</m:t>
              </m:r>
            </m:e>
            <m:sub>
              <m:r>
                <m:t>k</m:t>
              </m:r>
            </m:sub>
          </m:sSub>
          <m:r>
            <m:rPr>
              <m:sty m:val="p"/>
            </m:rPr>
            <m:t>,</m:t>
          </m:r>
          <m:r>
            <m:t>  </m:t>
          </m:r>
          <m:sSub>
            <m:e>
              <m:r>
                <m:t>A</m:t>
              </m:r>
            </m:e>
            <m:sub>
              <m:r>
                <m:t>k</m:t>
              </m:r>
            </m:sub>
          </m:sSub>
          <m:r>
            <m:rPr>
              <m:sty m:val="p"/>
            </m:rPr>
            <m:t>(</m:t>
          </m:r>
          <m:r>
            <m:t>c</m:t>
          </m:r>
          <m:r>
            <m:rPr>
              <m:sty m:val="p"/>
            </m:rPr>
            <m:t>,</m:t>
          </m:r>
          <m:r>
            <m:t>t</m:t>
          </m:r>
          <m:r>
            <m:rPr>
              <m:sty m:val="p"/>
            </m:rPr>
            <m:t>)</m:t>
          </m:r>
          <m:r>
            <m:rPr>
              <m:sty m:val="p"/>
            </m:rPr>
            <m:t>=</m:t>
          </m:r>
          <m:r>
            <m:t>1</m:t>
          </m:r>
          <m:r>
            <m:t> </m:t>
          </m:r>
          <m:r>
            <m:rPr>
              <m:sty m:val="p"/>
            </m:rPr>
            <m:t>⇏</m:t>
          </m:r>
          <m:r>
            <m:t> </m:t>
          </m:r>
          <m:sSubSup>
            <m:e>
              <m:r>
                <m:t>E</m:t>
              </m:r>
            </m:e>
            <m:sub>
              <m:r>
                <m:t>k</m:t>
              </m:r>
            </m:sub>
            <m:sup>
              <m:r>
                <m:rPr>
                  <m:sty m:val="p"/>
                </m:rPr>
                <m:t>*</m:t>
              </m:r>
            </m:sup>
          </m:sSubSup>
          <m:r>
            <m:rPr>
              <m:sty m:val="p"/>
            </m:rPr>
            <m:t>(</m:t>
          </m:r>
          <m:r>
            <m:t>c</m:t>
          </m:r>
          <m:r>
            <m:rPr>
              <m:sty m:val="p"/>
            </m:rPr>
            <m:t>)</m:t>
          </m:r>
          <m:r>
            <m:rPr>
              <m:sty m:val="p"/>
            </m:rPr>
            <m:t>≥</m:t>
          </m:r>
          <m:sSub>
            <m:e>
              <m:r>
                <m:t>ϵ</m:t>
              </m:r>
            </m:e>
            <m:sub>
              <m:r>
                <m:t>k</m:t>
              </m:r>
            </m:sub>
          </m:sSub>
          <m:r>
            <m:rPr>
              <m:sty m:val="p"/>
            </m:rPr>
            <m:t>.</m:t>
          </m:r>
        </m:oMath>
      </m:oMathPara>
    </w:p>
    <w:p>
      <w:pPr>
        <w:pStyle w:val="FirstParagraph"/>
      </w:pPr>
      <w:r>
        <w:rPr>
          <w:b/>
          <w:bCs/>
        </w:rPr>
        <w:t xml:space="preserve">Annotation.</w:t>
      </w:r>
      <w:r>
        <w:t xml:space="preserve"> </w:t>
      </w:r>
      <w:r>
        <w:t xml:space="preserve">The first non-implication permits a currently idle but causally reachable recipient. The second blocks common input, arousal, and passive spread from counting as broadcast. Both claims are empirical: interventions determine which side applies in a particular system.</w:t>
      </w:r>
    </w:p>
    <w:p>
      <w:pPr>
        <w:pStyle w:val="BodyText"/>
        <w:spacing w:before="120" w:after="120"/>
        <w:ind w:left="0" w:right="0"/>
        <w:jc w:val="center"/>
      </w:pPr>
      <w:r>
        <w:drawing>
          <wp:inline>
            <wp:extent cx="5943600" cy="3962399"/>
            <wp:effectExtent b="0" l="0" r="0" t="0"/>
            <wp:docPr descr="" title="" id="34" name="Picture"/>
            <a:graphic>
              <a:graphicData uri="http://schemas.openxmlformats.org/drawingml/2006/picture">
                <pic:pic>
                  <pic:nvPicPr>
                    <pic:cNvPr descr="activation-availability-matrix.png" id="35" name="Picture"/>
                    <pic:cNvPicPr>
                      <a:picLocks noChangeArrowheads="1" noChangeAspect="1"/>
                    </pic:cNvPicPr>
                  </pic:nvPicPr>
                  <pic:blipFill>
                    <a:blip r:embed="rId33"/>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rPr>
          <w:b/>
          <w:bCs/>
        </w:rPr>
        <w:t xml:space="preserve">Figure 1. Activation and causal availability are logically independent.</w:t>
      </w:r>
      <w:r>
        <w:t xml:space="preserve"> </w:t>
      </w:r>
      <w:r>
        <w:t xml:space="preserve">Observed activity can accompany genuine broadcast or nonspecific spread, while inactivity can conceal either latent causal reach or genuine isolation. Only intervention-supported reach distinguishes the right-hand cases from the left-hand cases.</w:t>
      </w:r>
    </w:p>
    <w:bookmarkEnd w:id="36"/>
    <w:bookmarkStart w:id="37" w:name="content-selectivity-and-routing-evidence"/>
    <w:p>
      <w:pPr>
        <w:pStyle w:val="Heading3"/>
      </w:pPr>
      <w:r>
        <w:t xml:space="preserve">4.5 Content selectivity and routing evidence</w:t>
      </w:r>
    </w:p>
    <w:p>
      <w:pPr>
        <w:pStyle w:val="FirstParagraph"/>
      </w:pPr>
      <w:r>
        <w:t xml:space="preserve">Define a matched null family</w:t>
      </w:r>
      <w:r>
        <w:t xml:space="preserve"> </w:t>
      </w:r>
      <m:oMath>
        <m:sSub>
          <m:e>
            <m:acc>
              <m:accPr>
                <m:chr m:val="̃"/>
              </m:accPr>
              <m:e>
                <m:r>
                  <m:rPr>
                    <m:scr m:val="script"/>
                    <m:sty m:val="p"/>
                  </m:rPr>
                  <m:t>I</m:t>
                </m:r>
              </m:e>
            </m:acc>
          </m:e>
          <m:sub>
            <m:r>
              <m:t>c</m:t>
            </m:r>
          </m:sub>
        </m:sSub>
      </m:oMath>
      <w:r>
        <w:t xml:space="preserve"> </w:t>
      </w:r>
      <w:r>
        <w:t xml:space="preserve">containing phase-scrambled, label-shuffled, energy-matched, and common-drive controls. Content selectivity is</w:t>
      </w:r>
    </w:p>
    <w:p>
      <w:pPr>
        <w:pStyle w:val="BodyText"/>
      </w:pPr>
      <m:oMathPara>
        <m:oMathParaPr>
          <m:jc m:val="center"/>
        </m:oMathParaPr>
        <m:oMath>
          <m:sSub>
            <m:e>
              <m:r>
                <m:rPr>
                  <m:sty m:val="p"/>
                </m:rPr>
                <m:t>Sel</m:t>
              </m:r>
            </m:e>
            <m:sub>
              <m:r>
                <m:t>k</m:t>
              </m:r>
            </m:sub>
          </m:sSub>
          <m:r>
            <m:rPr>
              <m:sty m:val="p"/>
            </m:rPr>
            <m:t>(</m:t>
          </m:r>
          <m:r>
            <m:t>c</m:t>
          </m:r>
          <m:r>
            <m:rPr>
              <m:sty m:val="p"/>
            </m:rPr>
            <m:t>)</m:t>
          </m:r>
          <m:r>
            <m:rPr>
              <m:sty m:val="p"/>
            </m:rPr>
            <m:t>=</m:t>
          </m:r>
          <m:sSubSup>
            <m:e>
              <m:r>
                <m:t>E</m:t>
              </m:r>
            </m:e>
            <m:sub>
              <m:r>
                <m:t>k</m:t>
              </m:r>
            </m:sub>
            <m:sup>
              <m:r>
                <m:rPr>
                  <m:sty m:val="p"/>
                </m:rPr>
                <m:t>*</m:t>
              </m:r>
            </m:sup>
          </m:sSubSup>
          <m:r>
            <m:rPr>
              <m:sty m:val="p"/>
            </m:rPr>
            <m:t>(</m:t>
          </m:r>
          <m:r>
            <m:t>c</m:t>
          </m:r>
          <m:r>
            <m:rPr>
              <m:sty m:val="p"/>
            </m:rPr>
            <m:t>)</m:t>
          </m:r>
          <m:r>
            <m:rPr>
              <m:sty m:val="p"/>
            </m:rPr>
            <m:t>−</m:t>
          </m:r>
          <m:limLow>
            <m:e>
              <m:r>
                <m:rPr>
                  <m:sty m:val="p"/>
                </m:rPr>
                <m:t>max</m:t>
              </m:r>
            </m:e>
            <m:lim>
              <m:acc>
                <m:accPr>
                  <m:chr m:val="̃"/>
                </m:accPr>
                <m:e>
                  <m:r>
                    <m:t>i</m:t>
                  </m:r>
                </m:e>
              </m:acc>
              <m:r>
                <m:rPr>
                  <m:sty m:val="p"/>
                </m:rPr>
                <m:t>∈</m:t>
              </m:r>
              <m:sSub>
                <m:e>
                  <m:acc>
                    <m:accPr>
                      <m:chr m:val="̃"/>
                    </m:accPr>
                    <m:e>
                      <m:r>
                        <m:rPr>
                          <m:scr m:val="script"/>
                          <m:sty m:val="p"/>
                        </m:rPr>
                        <m:t>I</m:t>
                      </m:r>
                    </m:e>
                  </m:acc>
                </m:e>
                <m:sub>
                  <m:r>
                    <m:t>c</m:t>
                  </m:r>
                </m:sub>
              </m:sSub>
            </m:lim>
          </m:limLow>
          <m:sSubSup>
            <m:e>
              <m:r>
                <m:t>E</m:t>
              </m:r>
            </m:e>
            <m:sub>
              <m:r>
                <m:t>k</m:t>
              </m:r>
            </m:sub>
            <m:sup>
              <m:r>
                <m:rPr>
                  <m:sty m:val="p"/>
                </m:rPr>
                <m:t>*</m:t>
              </m:r>
            </m:sup>
          </m:sSubSup>
          <m:r>
            <m:rPr>
              <m:sty m:val="p"/>
            </m:rPr>
            <m:t>(</m:t>
          </m:r>
          <m:acc>
            <m:accPr>
              <m:chr m:val="̃"/>
            </m:accPr>
            <m:e>
              <m:r>
                <m:t>i</m:t>
              </m:r>
            </m:e>
          </m:acc>
          <m:r>
            <m:rPr>
              <m:sty m:val="p"/>
            </m:rPr>
            <m:t>)</m:t>
          </m:r>
          <m:r>
            <m:rPr>
              <m:sty m:val="p"/>
            </m:rPr>
            <m:t>.</m:t>
          </m:r>
        </m:oMath>
      </m:oMathPara>
    </w:p>
    <w:p>
      <w:pPr>
        <w:pStyle w:val="FirstParagraph"/>
      </w:pPr>
      <w:r>
        <w:rPr>
          <w:b/>
          <w:bCs/>
        </w:rPr>
        <w:t xml:space="preserve">Annotation.</w:t>
      </w:r>
      <w:r>
        <w:t xml:space="preserve"> </w:t>
      </w:r>
      <w:r>
        <w:t xml:space="preserve">A large raw response with low selectivity is compatible with diffusion. The selectivity threshold</w:t>
      </w:r>
      <w:r>
        <w:t xml:space="preserve"> </w:t>
      </w:r>
      <m:oMath>
        <m:r>
          <m:t>s</m:t>
        </m:r>
      </m:oMath>
      <w:r>
        <w:t xml:space="preserve"> </w:t>
      </w:r>
      <w:r>
        <w:t xml:space="preserve">concerns the additional effect of preserving the target content contrast.</w:t>
      </w:r>
    </w:p>
    <w:p>
      <w:pPr>
        <w:pStyle w:val="BodyText"/>
      </w:pPr>
      <w:r>
        <w:t xml:space="preserve">For a preregistered route family</w:t>
      </w:r>
      <w:r>
        <w:t xml:space="preserve"> </w:t>
      </w:r>
      <m:oMath>
        <m:sSub>
          <m:e>
            <m:r>
              <m:t>B</m:t>
            </m:r>
          </m:e>
          <m:sub>
            <m:r>
              <m:t>k</m:t>
            </m:r>
          </m:sub>
        </m:sSub>
      </m:oMath>
      <w:r>
        <w:t xml:space="preserve">, let</w:t>
      </w:r>
      <w:r>
        <w:t xml:space="preserve"> </w:t>
      </w:r>
      <m:oMath>
        <m:sSubSup>
          <m:e>
            <m:r>
              <m:t>E</m:t>
            </m:r>
          </m:e>
          <m:sub>
            <m:r>
              <m:t>k</m:t>
            </m:r>
          </m:sub>
          <m:sup>
            <m:r>
              <m:rPr>
                <m:sty m:val="p"/>
              </m:rPr>
              <m:t>b</m:t>
            </m:r>
            <m:r>
              <m:rPr>
                <m:sty m:val="p"/>
              </m:rPr>
              <m:t>l</m:t>
            </m:r>
            <m:r>
              <m:rPr>
                <m:sty m:val="p"/>
              </m:rPr>
              <m:t>o</m:t>
            </m:r>
            <m:r>
              <m:rPr>
                <m:sty m:val="p"/>
              </m:rPr>
              <m:t>c</m:t>
            </m:r>
            <m:r>
              <m:rPr>
                <m:sty m:val="p"/>
              </m:rPr>
              <m:t>k</m:t>
            </m:r>
          </m:sup>
        </m:sSubSup>
      </m:oMath>
      <w:r>
        <w:t xml:space="preserve"> </w:t>
      </w:r>
      <w:r>
        <w:t xml:space="preserve">be the content effect after matched interruption of the candidate route while preserving local excitability and generic support. Define</w:t>
      </w:r>
    </w:p>
    <w:p>
      <w:pPr>
        <w:pStyle w:val="BodyText"/>
      </w:pPr>
      <m:oMathPara>
        <m:oMathParaPr>
          <m:jc m:val="center"/>
        </m:oMathParaPr>
        <m:oMath>
          <m:sSub>
            <m:e>
              <m:r>
                <m:rPr>
                  <m:sty m:val="p"/>
                </m:rPr>
                <m:t>Route</m:t>
              </m:r>
            </m:e>
            <m:sub>
              <m:r>
                <m:t>k</m:t>
              </m:r>
            </m:sub>
          </m:sSub>
          <m:r>
            <m:rPr>
              <m:sty m:val="p"/>
            </m:rPr>
            <m:t>(</m:t>
          </m:r>
          <m:r>
            <m:t>c</m:t>
          </m:r>
          <m:r>
            <m:rPr>
              <m:sty m:val="p"/>
            </m:rPr>
            <m:t>)</m:t>
          </m:r>
          <m:r>
            <m:rPr>
              <m:sty m:val="p"/>
            </m:rPr>
            <m:t>=</m:t>
          </m:r>
          <m:r>
            <m:t>1</m:t>
          </m:r>
          <m:r>
            <m:rPr>
              <m:sty m:val="p"/>
            </m:rPr>
            <m:t>−</m:t>
          </m:r>
          <m:f>
            <m:fPr>
              <m:type m:val="bar"/>
            </m:fPr>
            <m:num>
              <m:sSubSup>
                <m:e>
                  <m:r>
                    <m:t>E</m:t>
                  </m:r>
                </m:e>
                <m:sub>
                  <m:r>
                    <m:t>k</m:t>
                  </m:r>
                </m:sub>
                <m:sup>
                  <m:r>
                    <m:rPr>
                      <m:sty m:val="p"/>
                    </m:rPr>
                    <m:t>b</m:t>
                  </m:r>
                  <m:r>
                    <m:rPr>
                      <m:sty m:val="p"/>
                    </m:rPr>
                    <m:t>l</m:t>
                  </m:r>
                  <m:r>
                    <m:rPr>
                      <m:sty m:val="p"/>
                    </m:rPr>
                    <m:t>o</m:t>
                  </m:r>
                  <m:r>
                    <m:rPr>
                      <m:sty m:val="p"/>
                    </m:rPr>
                    <m:t>c</m:t>
                  </m:r>
                  <m:r>
                    <m:rPr>
                      <m:sty m:val="p"/>
                    </m:rPr>
                    <m:t>k</m:t>
                  </m:r>
                </m:sup>
              </m:sSubSup>
              <m:r>
                <m:rPr>
                  <m:sty m:val="p"/>
                </m:rPr>
                <m:t>(</m:t>
              </m:r>
              <m:r>
                <m:t>c</m:t>
              </m:r>
              <m:r>
                <m:rPr>
                  <m:sty m:val="p"/>
                </m:rPr>
                <m:t>)</m:t>
              </m:r>
            </m:num>
            <m:den>
              <m:sSubSup>
                <m:e>
                  <m:r>
                    <m:t>E</m:t>
                  </m:r>
                </m:e>
                <m:sub>
                  <m:r>
                    <m:t>k</m:t>
                  </m:r>
                </m:sub>
                <m:sup>
                  <m:r>
                    <m:rPr>
                      <m:sty m:val="p"/>
                    </m:rPr>
                    <m:t>*</m:t>
                  </m:r>
                </m:sup>
              </m:sSubSup>
              <m:r>
                <m:rPr>
                  <m:sty m:val="p"/>
                </m:rPr>
                <m:t>(</m:t>
              </m:r>
              <m:r>
                <m:t>c</m:t>
              </m:r>
              <m:r>
                <m:rPr>
                  <m:sty m:val="p"/>
                </m:rPr>
                <m:t>)</m:t>
              </m:r>
              <m:r>
                <m:rPr>
                  <m:sty m:val="p"/>
                </m:rPr>
                <m:t>+</m:t>
              </m:r>
              <m:r>
                <m:t>ε</m:t>
              </m:r>
            </m:den>
          </m:f>
          <m:r>
            <m:rPr>
              <m:sty m:val="p"/>
            </m:rPr>
            <m:t>.</m:t>
          </m:r>
        </m:oMath>
      </m:oMathPara>
    </w:p>
    <w:p>
      <w:pPr>
        <w:pStyle w:val="FirstParagraph"/>
      </w:pPr>
      <w:r>
        <w:rPr>
          <w:b/>
          <w:bCs/>
        </w:rPr>
        <w:t xml:space="preserve">Annotation.</w:t>
      </w:r>
      <w:r>
        <w:t xml:space="preserve"> </w:t>
      </w:r>
      <m:oMath>
        <m:r>
          <m:t>ε</m:t>
        </m:r>
      </m:oMath>
      <w:r>
        <w:t xml:space="preserve"> </w:t>
      </w:r>
      <w:r>
        <w:t xml:space="preserve">prevents division by zero and is fixed in advance. A high value indicates that the nominated causal route carries the content-specific effect. A low value can indicate an incorrect route model, redundant unblocked routes, or nonspecific common drive. Redundant architectures require blocking a sufficient route family rather than one arbitrarily chosen edge.</w:t>
      </w:r>
    </w:p>
    <w:p>
      <w:pPr>
        <w:pStyle w:val="BodyText"/>
      </w:pPr>
      <w:r>
        <w:t xml:space="preserve">For the robustness calculation below,</w:t>
      </w:r>
      <w:r>
        <w:t xml:space="preserve"> </w:t>
      </w:r>
      <m:oMath>
        <m:sSub>
          <m:e>
            <m:r>
              <m:rPr>
                <m:sty m:val="p"/>
              </m:rPr>
              <m:t>Sel</m:t>
            </m:r>
          </m:e>
          <m:sub>
            <m:r>
              <m:t>k</m:t>
            </m:r>
            <m:r>
              <m:rPr>
                <m:sty m:val="p"/>
              </m:rPr>
              <m:t>,</m:t>
            </m:r>
            <m:r>
              <m:t>u</m:t>
            </m:r>
          </m:sub>
        </m:sSub>
      </m:oMath>
      <w:r>
        <w:t xml:space="preserve"> </w:t>
      </w:r>
      <w:r>
        <w:t xml:space="preserve">and</w:t>
      </w:r>
      <w:r>
        <w:t xml:space="preserve"> </w:t>
      </w:r>
      <m:oMath>
        <m:sSub>
          <m:e>
            <m:r>
              <m:rPr>
                <m:sty m:val="p"/>
              </m:rPr>
              <m:t>Route</m:t>
            </m:r>
          </m:e>
          <m:sub>
            <m:r>
              <m:t>k</m:t>
            </m:r>
            <m:r>
              <m:rPr>
                <m:sty m:val="p"/>
              </m:rPr>
              <m:t>,</m:t>
            </m:r>
            <m:r>
              <m:t>u</m:t>
            </m:r>
          </m:sub>
        </m:sSub>
      </m:oMath>
      <w:r>
        <w:t xml:space="preserve"> </w:t>
      </w:r>
      <w:r>
        <w:t xml:space="preserve">denote these same quantities estimated within context</w:t>
      </w:r>
      <w:r>
        <w:t xml:space="preserve"> </w:t>
      </w:r>
      <m:oMath>
        <m:r>
          <m:t>u</m:t>
        </m:r>
      </m:oMath>
      <w:r>
        <w:t xml:space="preserve"> </w:t>
      </w:r>
      <w:r>
        <w:t xml:space="preserve">rather than after maximizing across contexts. This forces effect, speed, selectivity, and route support to concur in the contexts that carry the positive result.</w:t>
      </w:r>
    </w:p>
    <w:bookmarkEnd w:id="37"/>
    <w:bookmarkStart w:id="38" w:name="recipient-qualification"/>
    <w:p>
      <w:pPr>
        <w:pStyle w:val="Heading3"/>
      </w:pPr>
      <w:r>
        <w:t xml:space="preserve">4.6 Recipient qualification</w:t>
      </w:r>
    </w:p>
    <w:p>
      <w:pPr>
        <w:pStyle w:val="FirstParagraph"/>
      </w:pPr>
      <w:r>
        <w:t xml:space="preserve">Let</w:t>
      </w:r>
      <w:r>
        <w:t xml:space="preserve"> </w:t>
      </w:r>
      <m:oMath>
        <m:sSub>
          <m:e>
            <m:r>
              <m:t>L</m:t>
            </m:r>
          </m:e>
          <m:sub>
            <m:r>
              <m:t>k</m:t>
            </m:r>
            <m:r>
              <m:rPr>
                <m:sty m:val="p"/>
              </m:rPr>
              <m:t>,</m:t>
            </m:r>
            <m:r>
              <m:t>u</m:t>
            </m:r>
          </m:sub>
        </m:sSub>
      </m:oMath>
      <w:r>
        <w:t xml:space="preserve"> </w:t>
      </w:r>
      <w:r>
        <w:t xml:space="preserve">be the earliest qualifying latency in context</w:t>
      </w:r>
      <w:r>
        <w:t xml:space="preserve"> </w:t>
      </w:r>
      <m:oMath>
        <m:r>
          <m:t>u</m:t>
        </m:r>
      </m:oMath>
      <w:r>
        <w:t xml:space="preserve">, and let</w:t>
      </w:r>
      <w:r>
        <w:t xml:space="preserve"> </w:t>
      </w:r>
      <m:oMath>
        <m:sSub>
          <m:e>
            <m:r>
              <m:t>ν</m:t>
            </m:r>
          </m:e>
          <m:sub>
            <m:r>
              <m:t>k</m:t>
            </m:r>
          </m:sub>
        </m:sSub>
        <m:r>
          <m:rPr>
            <m:sty m:val="p"/>
          </m:rPr>
          <m:t>(</m:t>
        </m:r>
        <m:r>
          <m:t>u</m:t>
        </m:r>
        <m:r>
          <m:rPr>
            <m:sty m:val="p"/>
          </m:rPr>
          <m:t>)</m:t>
        </m:r>
        <m:r>
          <m:rPr>
            <m:sty m:val="p"/>
          </m:rPr>
          <m:t>≥</m:t>
        </m:r>
        <m:r>
          <m:t>0</m:t>
        </m:r>
      </m:oMath>
      <w:r>
        <w:t xml:space="preserve"> </w:t>
      </w:r>
      <w:r>
        <w:t xml:space="preserve">be a preregistered context weight with</w:t>
      </w:r>
      <w:r>
        <w:t xml:space="preserve"> </w:t>
      </w:r>
      <m:oMath>
        <m:nary>
          <m:naryPr>
            <m:chr m:val="∑"/>
            <m:limLoc m:val="undOvr"/>
            <m:subHide m:val="off"/>
            <m:supHide m:val="on"/>
          </m:naryPr>
          <m:sub>
            <m:r>
              <m:t>u</m:t>
            </m:r>
            <m:r>
              <m:rPr>
                <m:sty m:val="p"/>
              </m:rPr>
              <m:t>∈</m:t>
            </m:r>
            <m:sSubSup>
              <m:e>
                <m:r>
                  <m:rPr>
                    <m:scr m:val="script"/>
                    <m:sty m:val="p"/>
                  </m:rPr>
                  <m:t>U</m:t>
                </m:r>
              </m:e>
              <m:sub>
                <m:r>
                  <m:t>k</m:t>
                </m:r>
              </m:sub>
              <m:sup>
                <m:r>
                  <m:t>γ</m:t>
                </m:r>
              </m:sup>
            </m:sSubSup>
          </m:sub>
          <m:sup>
            <m:r>
              <m:t>​</m:t>
            </m:r>
          </m:sup>
          <m:e>
            <m:sSub>
              <m:e>
                <m:r>
                  <m:t>ν</m:t>
                </m:r>
              </m:e>
              <m:sub>
                <m:r>
                  <m:t>k</m:t>
                </m:r>
              </m:sub>
            </m:sSub>
          </m:e>
        </m:nary>
        <m:r>
          <m:rPr>
            <m:sty m:val="p"/>
          </m:rPr>
          <m:t>(</m:t>
        </m:r>
        <m:r>
          <m:t>u</m:t>
        </m:r>
        <m:r>
          <m:rPr>
            <m:sty m:val="p"/>
          </m:rPr>
          <m:t>)</m:t>
        </m:r>
        <m:r>
          <m:rPr>
            <m:sty m:val="p"/>
          </m:rPr>
          <m:t>=</m:t>
        </m:r>
        <m:r>
          <m:t>1</m:t>
        </m:r>
      </m:oMath>
      <w:r>
        <w:t xml:space="preserve">. Define context robustness</w:t>
      </w:r>
    </w:p>
    <w:p>
      <w:pPr>
        <w:pStyle w:val="BodyText"/>
      </w:pPr>
      <m:oMathPara>
        <m:oMathParaPr>
          <m:jc m:val="center"/>
        </m:oMathParaPr>
        <m:oMath>
          <m:eqArr>
            <m:e>
              <m:sSubSup>
                <m:e>
                  <m:r>
                    <m:t>G</m:t>
                  </m:r>
                </m:e>
                <m:sub>
                  <m:r>
                    <m:t>k</m:t>
                  </m:r>
                  <m:r>
                    <m:rPr>
                      <m:sty m:val="p"/>
                    </m:rPr>
                    <m:t>,</m:t>
                  </m:r>
                  <m:r>
                    <m:t>u</m:t>
                  </m:r>
                </m:sub>
                <m:sup>
                  <m:r>
                    <m:t>E</m:t>
                  </m:r>
                </m:sup>
              </m:sSubSup>
              <m:r>
                <m:rPr>
                  <m:sty m:val="p"/>
                </m:rPr>
                <m:t>(</m:t>
              </m:r>
              <m:r>
                <m:t>c</m:t>
              </m:r>
              <m:r>
                <m:rPr>
                  <m:sty m:val="p"/>
                </m:rPr>
                <m:t>)</m:t>
              </m:r>
              <m:r>
                <m:t>&amp;</m:t>
              </m:r>
              <m:r>
                <m:rPr>
                  <m:sty m:val="p"/>
                </m:rPr>
                <m:t>=</m:t>
              </m:r>
              <m:r>
                <m:rPr>
                  <m:sty m:val="b"/>
                </m:rPr>
                <m:t>1</m:t>
              </m:r>
              <m:r>
                <m:t>​</m:t>
              </m:r>
              <m:d>
                <m:dPr>
                  <m:begChr m:val="["/>
                  <m:sepChr m:val=""/>
                  <m:endChr m:val="]"/>
                  <m:grow/>
                </m:dPr>
                <m:e>
                  <m:sSub>
                    <m:e>
                      <m:r>
                        <m:rPr>
                          <m:sty m:val="p"/>
                        </m:rPr>
                        <m:t>LCB</m:t>
                      </m:r>
                    </m:e>
                    <m:sub>
                      <m:r>
                        <m:t>1</m:t>
                      </m:r>
                      <m:r>
                        <m:rPr>
                          <m:sty m:val="p"/>
                        </m:rPr>
                        <m:t>−</m:t>
                      </m:r>
                      <m:r>
                        <m:t>β</m:t>
                      </m:r>
                    </m:sub>
                  </m:sSub>
                  <m:r>
                    <m:t>​</m:t>
                  </m:r>
                  <m:d>
                    <m:dPr>
                      <m:begChr m:val="("/>
                      <m:sepChr m:val=""/>
                      <m:endChr m:val=")"/>
                      <m:grow/>
                    </m:dPr>
                    <m:e>
                      <m:limLow>
                        <m:e>
                          <m:r>
                            <m:rPr>
                              <m:sty m:val="p"/>
                            </m:rPr>
                            <m:t>max</m:t>
                          </m:r>
                        </m:e>
                        <m:lim>
                          <m:r>
                            <m:t>τ</m:t>
                          </m:r>
                          <m:r>
                            <m:rPr>
                              <m:sty m:val="p"/>
                            </m:rPr>
                            <m:t>≤</m:t>
                          </m:r>
                          <m:r>
                            <m:rPr>
                              <m:sty m:val="p"/>
                            </m:rPr>
                            <m:t>Δ</m:t>
                          </m:r>
                        </m:lim>
                      </m:limLow>
                      <m:sSub>
                        <m:e>
                          <m:r>
                            <m:t>E</m:t>
                          </m:r>
                        </m:e>
                        <m:sub>
                          <m:r>
                            <m:t>k</m:t>
                          </m:r>
                          <m:r>
                            <m:rPr>
                              <m:sty m:val="p"/>
                            </m:rPr>
                            <m:t>,</m:t>
                          </m:r>
                          <m:r>
                            <m:t>u</m:t>
                          </m:r>
                        </m:sub>
                      </m:sSub>
                      <m:r>
                        <m:rPr>
                          <m:sty m:val="p"/>
                        </m:rPr>
                        <m:t>(</m:t>
                      </m:r>
                      <m:r>
                        <m:t>c</m:t>
                      </m:r>
                      <m:r>
                        <m:rPr>
                          <m:sty m:val="p"/>
                        </m:rPr>
                        <m:t>,</m:t>
                      </m:r>
                      <m:r>
                        <m:t>τ</m:t>
                      </m:r>
                      <m:r>
                        <m:rPr>
                          <m:sty m:val="p"/>
                        </m:rPr>
                        <m:t>)</m:t>
                      </m:r>
                    </m:e>
                  </m:d>
                  <m:r>
                    <m:rPr>
                      <m:sty m:val="p"/>
                    </m:rPr>
                    <m:t>≥</m:t>
                  </m:r>
                  <m:sSub>
                    <m:e>
                      <m:r>
                        <m:t>ϵ</m:t>
                      </m:r>
                    </m:e>
                    <m:sub>
                      <m:r>
                        <m:t>k</m:t>
                      </m:r>
                    </m:sub>
                  </m:sSub>
                </m:e>
              </m:d>
              <m:r>
                <m:rPr>
                  <m:sty m:val="p"/>
                </m:rPr>
                <m:t>,</m:t>
              </m:r>
            </m:e>
            <m:e>
              <m:sSubSup>
                <m:e>
                  <m:r>
                    <m:t>G</m:t>
                  </m:r>
                </m:e>
                <m:sub>
                  <m:r>
                    <m:t>k</m:t>
                  </m:r>
                  <m:r>
                    <m:rPr>
                      <m:sty m:val="p"/>
                    </m:rPr>
                    <m:t>,</m:t>
                  </m:r>
                  <m:r>
                    <m:t>u</m:t>
                  </m:r>
                </m:sub>
                <m:sup>
                  <m:r>
                    <m:t>L</m:t>
                  </m:r>
                </m:sup>
              </m:sSubSup>
              <m:r>
                <m:rPr>
                  <m:sty m:val="p"/>
                </m:rPr>
                <m:t>(</m:t>
              </m:r>
              <m:r>
                <m:t>c</m:t>
              </m:r>
              <m:r>
                <m:rPr>
                  <m:sty m:val="p"/>
                </m:rPr>
                <m:t>)</m:t>
              </m:r>
              <m:r>
                <m:t>&amp;</m:t>
              </m:r>
              <m:r>
                <m:rPr>
                  <m:sty m:val="p"/>
                </m:rPr>
                <m:t>=</m:t>
              </m:r>
              <m:r>
                <m:rPr>
                  <m:sty m:val="b"/>
                </m:rPr>
                <m:t>1</m:t>
              </m:r>
              <m:r>
                <m:t>​</m:t>
              </m:r>
              <m:d>
                <m:dPr>
                  <m:begChr m:val="["/>
                  <m:sepChr m:val=""/>
                  <m:endChr m:val="]"/>
                  <m:grow/>
                </m:dPr>
                <m:e>
                  <m:sSub>
                    <m:e>
                      <m:r>
                        <m:rPr>
                          <m:sty m:val="p"/>
                        </m:rPr>
                        <m:t>UCB</m:t>
                      </m:r>
                    </m:e>
                    <m:sub>
                      <m:r>
                        <m:t>1</m:t>
                      </m:r>
                      <m:r>
                        <m:rPr>
                          <m:sty m:val="p"/>
                        </m:rPr>
                        <m:t>−</m:t>
                      </m:r>
                      <m:r>
                        <m:t>β</m:t>
                      </m:r>
                    </m:sub>
                  </m:sSub>
                  <m:r>
                    <m:rPr>
                      <m:sty m:val="p"/>
                    </m:rPr>
                    <m:t>(</m:t>
                  </m:r>
                  <m:sSub>
                    <m:e>
                      <m:r>
                        <m:t>L</m:t>
                      </m:r>
                    </m:e>
                    <m:sub>
                      <m:r>
                        <m:t>k</m:t>
                      </m:r>
                      <m:r>
                        <m:rPr>
                          <m:sty m:val="p"/>
                        </m:rPr>
                        <m:t>,</m:t>
                      </m:r>
                      <m:r>
                        <m:t>u</m:t>
                      </m:r>
                    </m:sub>
                  </m:sSub>
                  <m:r>
                    <m:rPr>
                      <m:sty m:val="p"/>
                    </m:rPr>
                    <m:t>)</m:t>
                  </m:r>
                  <m:r>
                    <m:rPr>
                      <m:sty m:val="p"/>
                    </m:rPr>
                    <m:t>≤</m:t>
                  </m:r>
                  <m:r>
                    <m:t>λ</m:t>
                  </m:r>
                </m:e>
              </m:d>
              <m:r>
                <m:rPr>
                  <m:sty m:val="p"/>
                </m:rPr>
                <m:t>,</m:t>
              </m:r>
            </m:e>
            <m:e>
              <m:sSubSup>
                <m:e>
                  <m:r>
                    <m:t>G</m:t>
                  </m:r>
                </m:e>
                <m:sub>
                  <m:r>
                    <m:t>k</m:t>
                  </m:r>
                  <m:r>
                    <m:rPr>
                      <m:sty m:val="p"/>
                    </m:rPr>
                    <m:t>,</m:t>
                  </m:r>
                  <m:r>
                    <m:t>u</m:t>
                  </m:r>
                </m:sub>
                <m:sup>
                  <m:r>
                    <m:t>S</m:t>
                  </m:r>
                </m:sup>
              </m:sSubSup>
              <m:r>
                <m:rPr>
                  <m:sty m:val="p"/>
                </m:rPr>
                <m:t>(</m:t>
              </m:r>
              <m:r>
                <m:t>c</m:t>
              </m:r>
              <m:r>
                <m:rPr>
                  <m:sty m:val="p"/>
                </m:rPr>
                <m:t>)</m:t>
              </m:r>
              <m:r>
                <m:t>&amp;</m:t>
              </m:r>
              <m:r>
                <m:rPr>
                  <m:sty m:val="p"/>
                </m:rPr>
                <m:t>=</m:t>
              </m:r>
              <m:r>
                <m:rPr>
                  <m:sty m:val="b"/>
                </m:rPr>
                <m:t>1</m:t>
              </m:r>
              <m:r>
                <m:t>​</m:t>
              </m:r>
              <m:d>
                <m:dPr>
                  <m:begChr m:val="["/>
                  <m:sepChr m:val=""/>
                  <m:endChr m:val="]"/>
                  <m:grow/>
                </m:dPr>
                <m:e>
                  <m:sSub>
                    <m:e>
                      <m:r>
                        <m:rPr>
                          <m:sty m:val="p"/>
                        </m:rPr>
                        <m:t>LCB</m:t>
                      </m:r>
                    </m:e>
                    <m:sub>
                      <m:r>
                        <m:t>1</m:t>
                      </m:r>
                      <m:r>
                        <m:rPr>
                          <m:sty m:val="p"/>
                        </m:rPr>
                        <m:t>−</m:t>
                      </m:r>
                      <m:r>
                        <m:t>β</m:t>
                      </m:r>
                    </m:sub>
                  </m:sSub>
                  <m:r>
                    <m:rPr>
                      <m:sty m:val="p"/>
                    </m:rPr>
                    <m:t>(</m:t>
                  </m:r>
                  <m:sSub>
                    <m:e>
                      <m:r>
                        <m:rPr>
                          <m:sty m:val="p"/>
                        </m:rPr>
                        <m:t>Sel</m:t>
                      </m:r>
                    </m:e>
                    <m:sub>
                      <m:r>
                        <m:t>k</m:t>
                      </m:r>
                      <m:r>
                        <m:rPr>
                          <m:sty m:val="p"/>
                        </m:rPr>
                        <m:t>,</m:t>
                      </m:r>
                      <m:r>
                        <m:t>u</m:t>
                      </m:r>
                    </m:sub>
                  </m:sSub>
                  <m:r>
                    <m:rPr>
                      <m:sty m:val="p"/>
                    </m:rPr>
                    <m:t>)</m:t>
                  </m:r>
                  <m:r>
                    <m:rPr>
                      <m:sty m:val="p"/>
                    </m:rPr>
                    <m:t>≥</m:t>
                  </m:r>
                  <m:r>
                    <m:t>s</m:t>
                  </m:r>
                </m:e>
              </m:d>
              <m:r>
                <m:rPr>
                  <m:sty m:val="p"/>
                </m:rPr>
                <m:t>,</m:t>
              </m:r>
            </m:e>
            <m:e>
              <m:sSubSup>
                <m:e>
                  <m:r>
                    <m:t>G</m:t>
                  </m:r>
                </m:e>
                <m:sub>
                  <m:r>
                    <m:t>k</m:t>
                  </m:r>
                  <m:r>
                    <m:rPr>
                      <m:sty m:val="p"/>
                    </m:rPr>
                    <m:t>,</m:t>
                  </m:r>
                  <m:r>
                    <m:t>u</m:t>
                  </m:r>
                </m:sub>
                <m:sup>
                  <m:r>
                    <m:t>R</m:t>
                  </m:r>
                </m:sup>
              </m:sSubSup>
              <m:r>
                <m:rPr>
                  <m:sty m:val="p"/>
                </m:rPr>
                <m:t>(</m:t>
              </m:r>
              <m:r>
                <m:t>c</m:t>
              </m:r>
              <m:r>
                <m:rPr>
                  <m:sty m:val="p"/>
                </m:rPr>
                <m:t>)</m:t>
              </m:r>
              <m:r>
                <m:t>&amp;</m:t>
              </m:r>
              <m:r>
                <m:rPr>
                  <m:sty m:val="p"/>
                </m:rPr>
                <m:t>=</m:t>
              </m:r>
              <m:r>
                <m:rPr>
                  <m:sty m:val="b"/>
                </m:rPr>
                <m:t>1</m:t>
              </m:r>
              <m:r>
                <m:t>​</m:t>
              </m:r>
              <m:d>
                <m:dPr>
                  <m:begChr m:val="["/>
                  <m:sepChr m:val=""/>
                  <m:endChr m:val="]"/>
                  <m:grow/>
                </m:dPr>
                <m:e>
                  <m:sSub>
                    <m:e>
                      <m:r>
                        <m:rPr>
                          <m:sty m:val="p"/>
                        </m:rPr>
                        <m:t>LCB</m:t>
                      </m:r>
                    </m:e>
                    <m:sub>
                      <m:r>
                        <m:t>1</m:t>
                      </m:r>
                      <m:r>
                        <m:rPr>
                          <m:sty m:val="p"/>
                        </m:rPr>
                        <m:t>−</m:t>
                      </m:r>
                      <m:r>
                        <m:t>β</m:t>
                      </m:r>
                    </m:sub>
                  </m:sSub>
                  <m:r>
                    <m:rPr>
                      <m:sty m:val="p"/>
                    </m:rPr>
                    <m:t>(</m:t>
                  </m:r>
                  <m:sSub>
                    <m:e>
                      <m:r>
                        <m:rPr>
                          <m:sty m:val="p"/>
                        </m:rPr>
                        <m:t>Route</m:t>
                      </m:r>
                    </m:e>
                    <m:sub>
                      <m:r>
                        <m:t>k</m:t>
                      </m:r>
                      <m:r>
                        <m:rPr>
                          <m:sty m:val="p"/>
                        </m:rPr>
                        <m:t>,</m:t>
                      </m:r>
                      <m:r>
                        <m:t>u</m:t>
                      </m:r>
                    </m:sub>
                  </m:sSub>
                  <m:r>
                    <m:rPr>
                      <m:sty m:val="p"/>
                    </m:rPr>
                    <m:t>)</m:t>
                  </m:r>
                  <m:r>
                    <m:rPr>
                      <m:sty m:val="p"/>
                    </m:rPr>
                    <m:t>≥</m:t>
                  </m:r>
                  <m:r>
                    <m:t>r</m:t>
                  </m:r>
                </m:e>
              </m:d>
              <m:r>
                <m:rPr>
                  <m:sty m:val="p"/>
                </m:rPr>
                <m:t>,</m:t>
              </m:r>
            </m:e>
            <m:e>
              <m:sSub>
                <m:e>
                  <m:r>
                    <m:t>R</m:t>
                  </m:r>
                </m:e>
                <m:sub>
                  <m:r>
                    <m:t>U</m:t>
                  </m:r>
                  <m:r>
                    <m:rPr>
                      <m:sty m:val="p"/>
                    </m:rPr>
                    <m:t>,</m:t>
                  </m:r>
                  <m:r>
                    <m:t>k</m:t>
                  </m:r>
                </m:sub>
              </m:sSub>
              <m:r>
                <m:rPr>
                  <m:sty m:val="p"/>
                </m:rPr>
                <m:t>(</m:t>
              </m:r>
              <m:r>
                <m:t>c</m:t>
              </m:r>
              <m:r>
                <m:rPr>
                  <m:sty m:val="p"/>
                </m:rPr>
                <m:t>)</m:t>
              </m:r>
              <m:r>
                <m:t>&amp;</m:t>
              </m:r>
              <m:r>
                <m:rPr>
                  <m:sty m:val="p"/>
                </m:rPr>
                <m:t>=</m:t>
              </m:r>
              <m:nary>
                <m:naryPr>
                  <m:chr m:val="∑"/>
                  <m:limLoc m:val="undOvr"/>
                  <m:subHide m:val="off"/>
                  <m:supHide m:val="on"/>
                </m:naryPr>
                <m:sub>
                  <m:r>
                    <m:t>u</m:t>
                  </m:r>
                  <m:r>
                    <m:rPr>
                      <m:sty m:val="p"/>
                    </m:rPr>
                    <m:t>∈</m:t>
                  </m:r>
                  <m:sSubSup>
                    <m:e>
                      <m:r>
                        <m:rPr>
                          <m:scr m:val="script"/>
                          <m:sty m:val="p"/>
                        </m:rPr>
                        <m:t>U</m:t>
                      </m:r>
                    </m:e>
                    <m:sub>
                      <m:r>
                        <m:t>k</m:t>
                      </m:r>
                    </m:sub>
                    <m:sup>
                      <m:r>
                        <m:t>γ</m:t>
                      </m:r>
                    </m:sup>
                  </m:sSubSup>
                </m:sub>
                <m:sup>
                  <m:r>
                    <m:t>​</m:t>
                  </m:r>
                </m:sup>
                <m:e>
                  <m:sSub>
                    <m:e>
                      <m:r>
                        <m:t>ν</m:t>
                      </m:r>
                    </m:e>
                    <m:sub>
                      <m:r>
                        <m:t>k</m:t>
                      </m:r>
                    </m:sub>
                  </m:sSub>
                </m:e>
              </m:nary>
              <m:r>
                <m:rPr>
                  <m:sty m:val="p"/>
                </m:rPr>
                <m:t>(</m:t>
              </m:r>
              <m:r>
                <m:t>u</m:t>
              </m:r>
              <m:r>
                <m:rPr>
                  <m:sty m:val="p"/>
                </m:rPr>
                <m:t>)</m:t>
              </m:r>
              <m:sSubSup>
                <m:e>
                  <m:r>
                    <m:t>G</m:t>
                  </m:r>
                </m:e>
                <m:sub>
                  <m:r>
                    <m:t>k</m:t>
                  </m:r>
                  <m:r>
                    <m:rPr>
                      <m:sty m:val="p"/>
                    </m:rPr>
                    <m:t>,</m:t>
                  </m:r>
                  <m:r>
                    <m:t>u</m:t>
                  </m:r>
                </m:sub>
                <m:sup>
                  <m:r>
                    <m:t>E</m:t>
                  </m:r>
                </m:sup>
              </m:sSubSup>
              <m:r>
                <m:rPr>
                  <m:sty m:val="p"/>
                </m:rPr>
                <m:t>(</m:t>
              </m:r>
              <m:r>
                <m:t>c</m:t>
              </m:r>
              <m:r>
                <m:rPr>
                  <m:sty m:val="p"/>
                </m:rPr>
                <m:t>)</m:t>
              </m:r>
              <m:sSubSup>
                <m:e>
                  <m:r>
                    <m:t>G</m:t>
                  </m:r>
                </m:e>
                <m:sub>
                  <m:r>
                    <m:t>k</m:t>
                  </m:r>
                  <m:r>
                    <m:rPr>
                      <m:sty m:val="p"/>
                    </m:rPr>
                    <m:t>,</m:t>
                  </m:r>
                  <m:r>
                    <m:t>u</m:t>
                  </m:r>
                </m:sub>
                <m:sup>
                  <m:r>
                    <m:t>L</m:t>
                  </m:r>
                </m:sup>
              </m:sSubSup>
              <m:r>
                <m:rPr>
                  <m:sty m:val="p"/>
                </m:rPr>
                <m:t>(</m:t>
              </m:r>
              <m:r>
                <m:t>c</m:t>
              </m:r>
              <m:r>
                <m:rPr>
                  <m:sty m:val="p"/>
                </m:rPr>
                <m:t>)</m:t>
              </m:r>
              <m:sSubSup>
                <m:e>
                  <m:r>
                    <m:t>G</m:t>
                  </m:r>
                </m:e>
                <m:sub>
                  <m:r>
                    <m:t>k</m:t>
                  </m:r>
                  <m:r>
                    <m:rPr>
                      <m:sty m:val="p"/>
                    </m:rPr>
                    <m:t>,</m:t>
                  </m:r>
                  <m:r>
                    <m:t>u</m:t>
                  </m:r>
                </m:sub>
                <m:sup>
                  <m:r>
                    <m:t>S</m:t>
                  </m:r>
                </m:sup>
              </m:sSubSup>
              <m:r>
                <m:rPr>
                  <m:sty m:val="p"/>
                </m:rPr>
                <m:t>(</m:t>
              </m:r>
              <m:r>
                <m:t>c</m:t>
              </m:r>
              <m:r>
                <m:rPr>
                  <m:sty m:val="p"/>
                </m:rPr>
                <m:t>)</m:t>
              </m:r>
              <m:sSubSup>
                <m:e>
                  <m:r>
                    <m:t>G</m:t>
                  </m:r>
                </m:e>
                <m:sub>
                  <m:r>
                    <m:t>k</m:t>
                  </m:r>
                  <m:r>
                    <m:rPr>
                      <m:sty m:val="p"/>
                    </m:rPr>
                    <m:t>,</m:t>
                  </m:r>
                  <m:r>
                    <m:t>u</m:t>
                  </m:r>
                </m:sub>
                <m:sup>
                  <m:r>
                    <m:t>R</m:t>
                  </m:r>
                </m:sup>
              </m:sSubSup>
              <m:r>
                <m:rPr>
                  <m:sty m:val="p"/>
                </m:rPr>
                <m:t>(</m:t>
              </m:r>
              <m:r>
                <m:t>c</m:t>
              </m:r>
              <m:r>
                <m:rPr>
                  <m:sty m:val="p"/>
                </m:rPr>
                <m:t>)</m:t>
              </m:r>
              <m:r>
                <m:rPr>
                  <m:sty m:val="p"/>
                </m:rPr>
                <m:t>.</m:t>
              </m:r>
            </m:e>
          </m:eqArr>
        </m:oMath>
      </m:oMathPara>
    </w:p>
    <w:p>
      <w:pPr>
        <w:pStyle w:val="FirstParagraph"/>
      </w:pPr>
      <w:r>
        <w:rPr>
          <w:b/>
          <w:bCs/>
        </w:rPr>
        <w:t xml:space="preserve">Term-by-term annotation.</w:t>
      </w:r>
      <w:r>
        <w:t xml:space="preserve"> </w:t>
      </w:r>
      <m:oMath>
        <m:sSup>
          <m:e>
            <m:r>
              <m:t>G</m:t>
            </m:r>
          </m:e>
          <m:sup>
            <m:r>
              <m:t>E</m:t>
            </m:r>
          </m:sup>
        </m:sSup>
      </m:oMath>
      <w:r>
        <w:t xml:space="preserve">,</w:t>
      </w:r>
      <w:r>
        <w:t xml:space="preserve"> </w:t>
      </w:r>
      <m:oMath>
        <m:sSup>
          <m:e>
            <m:r>
              <m:t>G</m:t>
            </m:r>
          </m:e>
          <m:sup>
            <m:r>
              <m:t>L</m:t>
            </m:r>
          </m:sup>
        </m:sSup>
      </m:oMath>
      <w:r>
        <w:t xml:space="preserve">,</w:t>
      </w:r>
      <w:r>
        <w:t xml:space="preserve"> </w:t>
      </w:r>
      <m:oMath>
        <m:sSup>
          <m:e>
            <m:r>
              <m:t>G</m:t>
            </m:r>
          </m:e>
          <m:sup>
            <m:r>
              <m:t>S</m:t>
            </m:r>
          </m:sup>
        </m:sSup>
      </m:oMath>
      <w:r>
        <w:t xml:space="preserve">, and</w:t>
      </w:r>
      <w:r>
        <w:t xml:space="preserve"> </w:t>
      </w:r>
      <m:oMath>
        <m:sSup>
          <m:e>
            <m:r>
              <m:t>G</m:t>
            </m:r>
          </m:e>
          <m:sup>
            <m:r>
              <m:t>R</m:t>
            </m:r>
          </m:sup>
        </m:sSup>
      </m:oMath>
      <w:r>
        <w:t xml:space="preserve"> </w:t>
      </w:r>
      <w:r>
        <w:t xml:space="preserve">are binary context-level gates for effect, latency, selectivity, and route dependence. Their product is one only when all four properties concur in the same context.</w:t>
      </w:r>
      <w:r>
        <w:t xml:space="preserve"> </w:t>
      </w:r>
      <m:oMath>
        <m:sSub>
          <m:e>
            <m:r>
              <m:t>R</m:t>
            </m:r>
          </m:e>
          <m:sub>
            <m:r>
              <m:t>U</m:t>
            </m:r>
            <m:r>
              <m:rPr>
                <m:sty m:val="p"/>
              </m:rPr>
              <m:t>,</m:t>
            </m:r>
            <m:r>
              <m:t>k</m:t>
            </m:r>
          </m:sub>
        </m:sSub>
      </m:oMath>
      <w:r>
        <w:t xml:space="preserve"> </w:t>
      </w:r>
      <w:r>
        <w:t xml:space="preserve">is therefore the preregistered probability mass of admissible contexts in which class</w:t>
      </w:r>
      <w:r>
        <w:t xml:space="preserve"> </w:t>
      </w:r>
      <m:oMath>
        <m:r>
          <m:t>k</m:t>
        </m:r>
      </m:oMath>
      <w:r>
        <w:t xml:space="preserve"> </w:t>
      </w:r>
      <w:r>
        <w:t xml:space="preserve">is detectably, timely, selectively, and route-supportedly reachable. The weights may encode natural context prevalence or an explicitly justified experimental mixture, but they cannot be fitted to the critical result. This gate does not demand response in every state; it demands that reach not depend on one cherry-picked preparation or on different contexts satisfying different parts of the rule.</w:t>
      </w:r>
    </w:p>
    <w:p>
      <w:pPr>
        <w:pStyle w:val="BodyText"/>
      </w:pPr>
      <w:r>
        <w:t xml:space="preserve">Using one-sided uncertainty bounds, recipient class</w:t>
      </w:r>
      <w:r>
        <w:t xml:space="preserve"> </w:t>
      </w:r>
      <m:oMath>
        <m:r>
          <m:t>k</m:t>
        </m:r>
      </m:oMath>
      <w:r>
        <w:t xml:space="preserve"> </w:t>
      </w:r>
      <w:r>
        <w:t xml:space="preserve">qualifies when</w:t>
      </w:r>
    </w:p>
    <w:p>
      <w:pPr>
        <w:pStyle w:val="BodyText"/>
      </w:pPr>
      <m:oMathPara>
        <m:oMathParaPr>
          <m:jc m:val="center"/>
        </m:oMathParaPr>
        <m:oMath>
          <m:sSub>
            <m:e>
              <m:r>
                <m:t>a</m:t>
              </m:r>
            </m:e>
            <m:sub>
              <m:r>
                <m:t>k</m:t>
              </m:r>
            </m:sub>
          </m:sSub>
          <m:r>
            <m:rPr>
              <m:sty m:val="p"/>
            </m:rPr>
            <m:t>(</m:t>
          </m:r>
          <m:r>
            <m:t>c</m:t>
          </m:r>
          <m:r>
            <m:rPr>
              <m:sty m:val="p"/>
            </m:rPr>
            <m:t>)</m:t>
          </m:r>
          <m:r>
            <m:rPr>
              <m:sty m:val="p"/>
            </m:rPr>
            <m:t>=</m:t>
          </m:r>
          <m:r>
            <m:rPr>
              <m:sty m:val="b"/>
            </m:rPr>
            <m:t>1</m:t>
          </m:r>
          <m:r>
            <m:t>​</m:t>
          </m:r>
          <m:d>
            <m:dPr>
              <m:begChr m:val="["/>
              <m:sepChr m:val=""/>
              <m:endChr m:val="]"/>
              <m:grow/>
            </m:dPr>
            <m:e>
              <m:m>
                <m:mPr>
                  <m:baseJc m:val="center"/>
                  <m:plcHide m:val="on"/>
                  <m:mcs>
                    <m:mc>
                      <m:mcPr>
                        <m:mcJc m:val="center"/>
                        <m:count m:val="1"/>
                      </m:mcPr>
                    </m:mc>
                  </m:mcs>
                </m:mPr>
                <m:mr>
                  <m:e>
                    <m:sSub>
                      <m:e>
                        <m:r>
                          <m:rPr>
                            <m:sty m:val="p"/>
                          </m:rPr>
                          <m:t>LCB</m:t>
                        </m:r>
                      </m:e>
                      <m:sub>
                        <m:r>
                          <m:t>1</m:t>
                        </m:r>
                        <m:r>
                          <m:rPr>
                            <m:sty m:val="p"/>
                          </m:rPr>
                          <m:t>−</m:t>
                        </m:r>
                        <m:r>
                          <m:t>β</m:t>
                        </m:r>
                      </m:sub>
                    </m:sSub>
                    <m:r>
                      <m:rPr>
                        <m:sty m:val="p"/>
                      </m:rPr>
                      <m:t>(</m:t>
                    </m:r>
                    <m:sSubSup>
                      <m:e>
                        <m:r>
                          <m:t>E</m:t>
                        </m:r>
                      </m:e>
                      <m:sub>
                        <m:r>
                          <m:t>k</m:t>
                        </m:r>
                      </m:sub>
                      <m:sup>
                        <m:r>
                          <m:rPr>
                            <m:sty m:val="p"/>
                          </m:rPr>
                          <m:t>*</m:t>
                        </m:r>
                      </m:sup>
                    </m:sSubSup>
                    <m:r>
                      <m:rPr>
                        <m:sty m:val="p"/>
                      </m:rPr>
                      <m:t>)</m:t>
                    </m:r>
                    <m:r>
                      <m:rPr>
                        <m:sty m:val="p"/>
                      </m:rPr>
                      <m:t>≥</m:t>
                    </m:r>
                    <m:sSub>
                      <m:e>
                        <m:r>
                          <m:t>ϵ</m:t>
                        </m:r>
                      </m:e>
                      <m:sub>
                        <m:r>
                          <m:t>k</m:t>
                        </m:r>
                      </m:sub>
                    </m:sSub>
                    <m:r>
                      <m:t>​</m:t>
                    </m:r>
                    <m:r>
                      <m:rPr>
                        <m:sty m:val="p"/>
                      </m:rPr>
                      <m:t>∧</m:t>
                    </m:r>
                    <m:r>
                      <m:t>​</m:t>
                    </m:r>
                    <m:sSub>
                      <m:e>
                        <m:r>
                          <m:rPr>
                            <m:sty m:val="p"/>
                          </m:rPr>
                          <m:t>UCB</m:t>
                        </m:r>
                      </m:e>
                      <m:sub>
                        <m:r>
                          <m:t>1</m:t>
                        </m:r>
                        <m:r>
                          <m:rPr>
                            <m:sty m:val="p"/>
                          </m:rPr>
                          <m:t>−</m:t>
                        </m:r>
                        <m:r>
                          <m:t>β</m:t>
                        </m:r>
                      </m:sub>
                    </m:sSub>
                    <m:r>
                      <m:rPr>
                        <m:sty m:val="p"/>
                      </m:rPr>
                      <m:t>(</m:t>
                    </m:r>
                    <m:sSub>
                      <m:e>
                        <m:r>
                          <m:t>L</m:t>
                        </m:r>
                      </m:e>
                      <m:sub>
                        <m:r>
                          <m:t>k</m:t>
                        </m:r>
                      </m:sub>
                    </m:sSub>
                    <m:r>
                      <m:rPr>
                        <m:sty m:val="p"/>
                      </m:rPr>
                      <m:t>)</m:t>
                    </m:r>
                    <m:r>
                      <m:rPr>
                        <m:sty m:val="p"/>
                      </m:rPr>
                      <m:t>≤</m:t>
                    </m:r>
                    <m:r>
                      <m:t>λ</m:t>
                    </m:r>
                  </m:e>
                </m:mr>
                <m:mr>
                  <m:e>
                    <m:r>
                      <m:t>​</m:t>
                    </m:r>
                    <m:r>
                      <m:rPr>
                        <m:sty m:val="p"/>
                      </m:rPr>
                      <m:t>∧</m:t>
                    </m:r>
                    <m:r>
                      <m:t>​</m:t>
                    </m:r>
                    <m:sSub>
                      <m:e>
                        <m:r>
                          <m:rPr>
                            <m:sty m:val="p"/>
                          </m:rPr>
                          <m:t>LCB</m:t>
                        </m:r>
                      </m:e>
                      <m:sub>
                        <m:r>
                          <m:t>1</m:t>
                        </m:r>
                        <m:r>
                          <m:rPr>
                            <m:sty m:val="p"/>
                          </m:rPr>
                          <m:t>−</m:t>
                        </m:r>
                        <m:r>
                          <m:t>β</m:t>
                        </m:r>
                      </m:sub>
                    </m:sSub>
                    <m:r>
                      <m:rPr>
                        <m:sty m:val="p"/>
                      </m:rPr>
                      <m:t>(</m:t>
                    </m:r>
                    <m:sSub>
                      <m:e>
                        <m:r>
                          <m:rPr>
                            <m:sty m:val="p"/>
                          </m:rPr>
                          <m:t>Sel</m:t>
                        </m:r>
                      </m:e>
                      <m:sub>
                        <m:r>
                          <m:t>k</m:t>
                        </m:r>
                      </m:sub>
                    </m:sSub>
                    <m:r>
                      <m:rPr>
                        <m:sty m:val="p"/>
                      </m:rPr>
                      <m:t>)</m:t>
                    </m:r>
                    <m:r>
                      <m:rPr>
                        <m:sty m:val="p"/>
                      </m:rPr>
                      <m:t>≥</m:t>
                    </m:r>
                    <m:r>
                      <m:t>s</m:t>
                    </m:r>
                    <m:r>
                      <m:t>​</m:t>
                    </m:r>
                    <m:r>
                      <m:rPr>
                        <m:sty m:val="p"/>
                      </m:rPr>
                      <m:t>∧</m:t>
                    </m:r>
                    <m:r>
                      <m:t>​</m:t>
                    </m:r>
                    <m:sSub>
                      <m:e>
                        <m:r>
                          <m:rPr>
                            <m:sty m:val="p"/>
                          </m:rPr>
                          <m:t>LCB</m:t>
                        </m:r>
                      </m:e>
                      <m:sub>
                        <m:r>
                          <m:t>1</m:t>
                        </m:r>
                        <m:r>
                          <m:rPr>
                            <m:sty m:val="p"/>
                          </m:rPr>
                          <m:t>−</m:t>
                        </m:r>
                        <m:r>
                          <m:t>β</m:t>
                        </m:r>
                      </m:sub>
                    </m:sSub>
                    <m:r>
                      <m:rPr>
                        <m:sty m:val="p"/>
                      </m:rPr>
                      <m:t>(</m:t>
                    </m:r>
                    <m:sSub>
                      <m:e>
                        <m:r>
                          <m:rPr>
                            <m:sty m:val="p"/>
                          </m:rPr>
                          <m:t>Route</m:t>
                        </m:r>
                      </m:e>
                      <m:sub>
                        <m:r>
                          <m:t>k</m:t>
                        </m:r>
                      </m:sub>
                    </m:sSub>
                    <m:r>
                      <m:rPr>
                        <m:sty m:val="p"/>
                      </m:rPr>
                      <m:t>)</m:t>
                    </m:r>
                    <m:r>
                      <m:rPr>
                        <m:sty m:val="p"/>
                      </m:rPr>
                      <m:t>≥</m:t>
                    </m:r>
                    <m:r>
                      <m:t>r</m:t>
                    </m:r>
                  </m:e>
                </m:mr>
                <m:mr>
                  <m:e>
                    <m:r>
                      <m:t>​</m:t>
                    </m:r>
                    <m:r>
                      <m:rPr>
                        <m:sty m:val="p"/>
                      </m:rPr>
                      <m:t>∧</m:t>
                    </m:r>
                    <m:r>
                      <m:t>​</m:t>
                    </m:r>
                    <m:sSub>
                      <m:e>
                        <m:r>
                          <m:rPr>
                            <m:sty m:val="p"/>
                          </m:rPr>
                          <m:t>LCB</m:t>
                        </m:r>
                      </m:e>
                      <m:sub>
                        <m:r>
                          <m:t>1</m:t>
                        </m:r>
                        <m:r>
                          <m:rPr>
                            <m:sty m:val="p"/>
                          </m:rPr>
                          <m:t>−</m:t>
                        </m:r>
                        <m:r>
                          <m:t>β</m:t>
                        </m:r>
                      </m:sub>
                    </m:sSub>
                    <m:r>
                      <m:rPr>
                        <m:sty m:val="p"/>
                      </m:rPr>
                      <m:t>(</m:t>
                    </m:r>
                    <m:sSub>
                      <m:e>
                        <m:r>
                          <m:t>R</m:t>
                        </m:r>
                      </m:e>
                      <m:sub>
                        <m:r>
                          <m:t>U</m:t>
                        </m:r>
                        <m:r>
                          <m:rPr>
                            <m:sty m:val="p"/>
                          </m:rPr>
                          <m:t>,</m:t>
                        </m:r>
                        <m:r>
                          <m:t>k</m:t>
                        </m:r>
                      </m:sub>
                    </m:sSub>
                    <m:r>
                      <m:rPr>
                        <m:sty m:val="p"/>
                      </m:rPr>
                      <m:t>)</m:t>
                    </m:r>
                    <m:r>
                      <m:rPr>
                        <m:sty m:val="p"/>
                      </m:rPr>
                      <m:t>≥</m:t>
                    </m:r>
                    <m:sSub>
                      <m:e>
                        <m:r>
                          <m:t>ρ</m:t>
                        </m:r>
                      </m:e>
                      <m:sub>
                        <m:r>
                          <m:t>U</m:t>
                        </m:r>
                      </m:sub>
                    </m:sSub>
                  </m:e>
                </m:mr>
              </m:m>
            </m:e>
          </m:d>
          <m:r>
            <m:rPr>
              <m:sty m:val="p"/>
            </m:rPr>
            <m:t>.</m:t>
          </m:r>
        </m:oMath>
      </m:oMathPara>
    </w:p>
    <w:p>
      <w:pPr>
        <w:pStyle w:val="FirstParagraph"/>
      </w:pPr>
      <w:r>
        <w:rPr>
          <w:b/>
          <w:bCs/>
        </w:rPr>
        <w:t xml:space="preserve">Annotation.</w:t>
      </w:r>
      <w:r>
        <w:t xml:space="preserve"> </w:t>
      </w:r>
      <w:r>
        <w:t xml:space="preserve">All five gates must pass. Effect without speed is not timely availability; speed without content selectivity is compatible with a pulse; selectivity without routing evidence can be correlational; routing without a recipient effect does not show availability; and a pass confined to one negligible context is too fragile to support a system-wide counterfactual. If an interval straddles a threshold, the class is unresolved rather than failed.</w:t>
      </w:r>
    </w:p>
    <w:bookmarkEnd w:id="38"/>
    <w:bookmarkStart w:id="42" w:name="coverage-and-functional-diversity"/>
    <w:p>
      <w:pPr>
        <w:pStyle w:val="Heading3"/>
      </w:pPr>
      <w:r>
        <w:t xml:space="preserve">4.7 Coverage and functional diversity</w:t>
      </w:r>
    </w:p>
    <w:p>
      <w:pPr>
        <w:pStyle w:val="FirstParagraph"/>
      </w:pPr>
      <w:r>
        <w:t xml:space="preserve">Let preregistered class weights satisfy</w:t>
      </w:r>
      <w:r>
        <w:t xml:space="preserve"> </w:t>
      </w:r>
      <m:oMath>
        <m:sSub>
          <m:e>
            <m:r>
              <m:t>w</m:t>
            </m:r>
          </m:e>
          <m:sub>
            <m:r>
              <m:t>k</m:t>
            </m:r>
          </m:sub>
        </m:sSub>
        <m:r>
          <m:rPr>
            <m:sty m:val="p"/>
          </m:rPr>
          <m:t>&gt;</m:t>
        </m:r>
        <m:r>
          <m:t>0</m:t>
        </m:r>
      </m:oMath>
      <w:r>
        <w:t xml:space="preserve"> </w:t>
      </w:r>
      <w:r>
        <w:t xml:space="preserve">and</w:t>
      </w:r>
      <w:r>
        <w:t xml:space="preserve"> </w:t>
      </w:r>
      <m:oMath>
        <m:nary>
          <m:naryPr>
            <m:chr m:val="∑"/>
            <m:limLoc m:val="undOvr"/>
            <m:subHide m:val="off"/>
            <m:supHide m:val="on"/>
          </m:naryPr>
          <m:sub>
            <m:r>
              <m:t>k</m:t>
            </m:r>
          </m:sub>
          <m:sup>
            <m:r>
              <m:t>​</m:t>
            </m:r>
          </m:sup>
          <m:e>
            <m:sSub>
              <m:e>
                <m:r>
                  <m:t>w</m:t>
                </m:r>
              </m:e>
              <m:sub>
                <m:r>
                  <m:t>k</m:t>
                </m:r>
              </m:sub>
            </m:sSub>
          </m:e>
        </m:nary>
        <m:r>
          <m:rPr>
            <m:sty m:val="p"/>
          </m:rPr>
          <m:t>=</m:t>
        </m:r>
        <m:r>
          <m:t>1</m:t>
        </m:r>
      </m:oMath>
      <w:r>
        <w:t xml:space="preserve">. Weights cannot be proportional to node count alone. Define weighted coverage and class count:</w:t>
      </w:r>
    </w:p>
    <w:p>
      <w:pPr>
        <w:pStyle w:val="BodyText"/>
        <w:spacing w:before="120" w:after="120"/>
        <w:ind w:left="0" w:right="0"/>
        <w:jc w:val="center"/>
      </w:pPr>
      <w:r>
        <w:drawing>
          <wp:inline>
            <wp:extent cx="5943600" cy="3962399"/>
            <wp:effectExtent b="0" l="0" r="0" t="0"/>
            <wp:docPr descr="" title="" id="40" name="Picture"/>
            <a:graphic>
              <a:graphicData uri="http://schemas.openxmlformats.org/drawingml/2006/picture">
                <pic:pic>
                  <pic:nvPicPr>
                    <pic:cNvPr descr="functional-diversity-contrast.png" id="41" name="Picture"/>
                    <pic:cNvPicPr>
                      <a:picLocks noChangeArrowheads="1" noChangeAspect="1"/>
                    </pic:cNvPicPr>
                  </pic:nvPicPr>
                  <pic:blipFill>
                    <a:blip r:embed="rId39"/>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rPr>
          <w:b/>
          <w:bCs/>
        </w:rPr>
        <w:t xml:space="preserve">Figure 2. Functional globality is not a node-count statistic.</w:t>
      </w:r>
      <w:r>
        <w:t xml:space="preserve"> </w:t>
      </w:r>
      <w:r>
        <w:t xml:space="preserve">A large homogeneous fan-out can fail because it realizes only one causal response repertoire. A smaller network can pass the diversity requirement when it reaches several independently calibrated recipient classes.</w:t>
      </w:r>
    </w:p>
    <w:p>
      <w:pPr>
        <w:pStyle w:val="BodyText"/>
      </w:pPr>
      <m:oMathPara>
        <m:oMathParaPr>
          <m:jc m:val="center"/>
        </m:oMathParaPr>
        <m:oMath>
          <m:sSub>
            <m:e>
              <m:r>
                <m:t>C</m:t>
              </m:r>
            </m:e>
            <m:sub>
              <m:r>
                <m:t>A</m:t>
              </m:r>
            </m:sub>
          </m:sSub>
          <m:r>
            <m:rPr>
              <m:sty m:val="p"/>
            </m:rPr>
            <m:t>(</m:t>
          </m:r>
          <m:r>
            <m:t>c</m:t>
          </m:r>
          <m:r>
            <m:rPr>
              <m:sty m:val="p"/>
            </m:rPr>
            <m:t>)</m:t>
          </m:r>
          <m:r>
            <m:rPr>
              <m:sty m:val="p"/>
            </m:rPr>
            <m:t>=</m:t>
          </m:r>
          <m:nary>
            <m:naryPr>
              <m:chr m:val="∑"/>
              <m:limLoc m:val="undOvr"/>
              <m:subHide m:val="off"/>
              <m:supHide m:val="off"/>
            </m:naryPr>
            <m:sub>
              <m:r>
                <m:t>k</m:t>
              </m:r>
              <m:r>
                <m:rPr>
                  <m:sty m:val="p"/>
                </m:rPr>
                <m:t>=</m:t>
              </m:r>
              <m:r>
                <m:t>1</m:t>
              </m:r>
            </m:sub>
            <m:sup>
              <m:r>
                <m:t>K</m:t>
              </m:r>
            </m:sup>
            <m:e>
              <m:sSub>
                <m:e>
                  <m:r>
                    <m:t>w</m:t>
                  </m:r>
                </m:e>
                <m:sub>
                  <m:r>
                    <m:t>k</m:t>
                  </m:r>
                </m:sub>
              </m:sSub>
            </m:e>
          </m:nary>
          <m:sSub>
            <m:e>
              <m:r>
                <m:t>a</m:t>
              </m:r>
            </m:e>
            <m:sub>
              <m:r>
                <m:t>k</m:t>
              </m:r>
            </m:sub>
          </m:sSub>
          <m:r>
            <m:rPr>
              <m:sty m:val="p"/>
            </m:rPr>
            <m:t>(</m:t>
          </m:r>
          <m:r>
            <m:t>c</m:t>
          </m:r>
          <m:r>
            <m:rPr>
              <m:sty m:val="p"/>
            </m:rPr>
            <m:t>)</m:t>
          </m:r>
          <m:r>
            <m:rPr>
              <m:sty m:val="p"/>
            </m:rPr>
            <m:t>,</m:t>
          </m:r>
          <m:r>
            <m:t>  </m:t>
          </m:r>
          <m:sSub>
            <m:e>
              <m:r>
                <m:t>K</m:t>
              </m:r>
            </m:e>
            <m:sub>
              <m:r>
                <m:t>A</m:t>
              </m:r>
            </m:sub>
          </m:sSub>
          <m:r>
            <m:rPr>
              <m:sty m:val="p"/>
            </m:rPr>
            <m:t>(</m:t>
          </m:r>
          <m:r>
            <m:t>c</m:t>
          </m:r>
          <m:r>
            <m:rPr>
              <m:sty m:val="p"/>
            </m:rPr>
            <m:t>)</m:t>
          </m:r>
          <m:r>
            <m:rPr>
              <m:sty m:val="p"/>
            </m:rPr>
            <m:t>=</m:t>
          </m:r>
          <m:nary>
            <m:naryPr>
              <m:chr m:val="∑"/>
              <m:limLoc m:val="undOvr"/>
              <m:subHide m:val="off"/>
              <m:supHide m:val="off"/>
            </m:naryPr>
            <m:sub>
              <m:r>
                <m:t>k</m:t>
              </m:r>
              <m:r>
                <m:rPr>
                  <m:sty m:val="p"/>
                </m:rPr>
                <m:t>=</m:t>
              </m:r>
              <m:r>
                <m:t>1</m:t>
              </m:r>
            </m:sub>
            <m:sup>
              <m:r>
                <m:t>K</m:t>
              </m:r>
            </m:sup>
            <m:e>
              <m:sSub>
                <m:e>
                  <m:r>
                    <m:t>a</m:t>
                  </m:r>
                </m:e>
                <m:sub>
                  <m:r>
                    <m:t>k</m:t>
                  </m:r>
                </m:sub>
              </m:sSub>
            </m:e>
          </m:nary>
          <m:r>
            <m:rPr>
              <m:sty m:val="p"/>
            </m:rPr>
            <m:t>(</m:t>
          </m:r>
          <m:r>
            <m:t>c</m:t>
          </m:r>
          <m:r>
            <m:rPr>
              <m:sty m:val="p"/>
            </m:rPr>
            <m:t>)</m:t>
          </m:r>
          <m:r>
            <m:rPr>
              <m:sty m:val="p"/>
            </m:rPr>
            <m:t>.</m:t>
          </m:r>
        </m:oMath>
      </m:oMathPara>
    </w:p>
    <w:p>
      <w:pPr>
        <w:pStyle w:val="FirstParagraph"/>
      </w:pPr>
      <w:r>
        <w:t xml:space="preserve">Among qualifying classes, let normalized effect mass be</w:t>
      </w:r>
    </w:p>
    <w:p>
      <w:pPr>
        <w:pStyle w:val="BodyText"/>
      </w:pPr>
      <m:oMathPara>
        <m:oMathParaPr>
          <m:jc m:val="center"/>
        </m:oMathParaPr>
        <m:oMath>
          <m:sSub>
            <m:e>
              <m:r>
                <m:t>p</m:t>
              </m:r>
            </m:e>
            <m:sub>
              <m:r>
                <m:t>k</m:t>
              </m:r>
            </m:sub>
          </m:sSub>
          <m:r>
            <m:rPr>
              <m:sty m:val="p"/>
            </m:rPr>
            <m:t>(</m:t>
          </m:r>
          <m:r>
            <m:t>c</m:t>
          </m:r>
          <m:r>
            <m:rPr>
              <m:sty m:val="p"/>
            </m:rPr>
            <m:t>)</m:t>
          </m:r>
          <m:r>
            <m:rPr>
              <m:sty m:val="p"/>
            </m:rPr>
            <m:t>=</m:t>
          </m:r>
          <m:f>
            <m:fPr>
              <m:type m:val="bar"/>
            </m:fPr>
            <m:num>
              <m:sSub>
                <m:e>
                  <m:r>
                    <m:t>w</m:t>
                  </m:r>
                </m:e>
                <m:sub>
                  <m:r>
                    <m:t>k</m:t>
                  </m:r>
                </m:sub>
              </m:sSub>
              <m:sSubSup>
                <m:e>
                  <m:r>
                    <m:t>E</m:t>
                  </m:r>
                </m:e>
                <m:sub>
                  <m:r>
                    <m:t>k</m:t>
                  </m:r>
                </m:sub>
                <m:sup>
                  <m:r>
                    <m:rPr>
                      <m:sty m:val="p"/>
                    </m:rPr>
                    <m:t>*</m:t>
                  </m:r>
                </m:sup>
              </m:sSubSup>
              <m:r>
                <m:rPr>
                  <m:sty m:val="p"/>
                </m:rPr>
                <m:t>(</m:t>
              </m:r>
              <m:r>
                <m:t>c</m:t>
              </m:r>
              <m:r>
                <m:rPr>
                  <m:sty m:val="p"/>
                </m:rPr>
                <m:t>)</m:t>
              </m:r>
              <m:sSub>
                <m:e>
                  <m:r>
                    <m:t>a</m:t>
                  </m:r>
                </m:e>
                <m:sub>
                  <m:r>
                    <m:t>k</m:t>
                  </m:r>
                </m:sub>
              </m:sSub>
              <m:r>
                <m:rPr>
                  <m:sty m:val="p"/>
                </m:rPr>
                <m:t>(</m:t>
              </m:r>
              <m:r>
                <m:t>c</m:t>
              </m:r>
              <m:r>
                <m:rPr>
                  <m:sty m:val="p"/>
                </m:rPr>
                <m:t>)</m:t>
              </m:r>
            </m:num>
            <m:den>
              <m:nary>
                <m:naryPr>
                  <m:chr m:val="∑"/>
                  <m:limLoc m:val="undOvr"/>
                  <m:subHide m:val="off"/>
                  <m:supHide m:val="on"/>
                </m:naryPr>
                <m:sub>
                  <m:r>
                    <m:t>j</m:t>
                  </m:r>
                </m:sub>
                <m:sup>
                  <m:r>
                    <m:t>​</m:t>
                  </m:r>
                </m:sup>
                <m:e>
                  <m:sSub>
                    <m:e>
                      <m:r>
                        <m:t>w</m:t>
                      </m:r>
                    </m:e>
                    <m:sub>
                      <m:r>
                        <m:t>j</m:t>
                      </m:r>
                    </m:sub>
                  </m:sSub>
                </m:e>
              </m:nary>
              <m:sSubSup>
                <m:e>
                  <m:r>
                    <m:t>E</m:t>
                  </m:r>
                </m:e>
                <m:sub>
                  <m:r>
                    <m:t>j</m:t>
                  </m:r>
                </m:sub>
                <m:sup>
                  <m:r>
                    <m:rPr>
                      <m:sty m:val="p"/>
                    </m:rPr>
                    <m:t>*</m:t>
                  </m:r>
                </m:sup>
              </m:sSubSup>
              <m:r>
                <m:rPr>
                  <m:sty m:val="p"/>
                </m:rPr>
                <m:t>(</m:t>
              </m:r>
              <m:r>
                <m:t>c</m:t>
              </m:r>
              <m:r>
                <m:rPr>
                  <m:sty m:val="p"/>
                </m:rPr>
                <m:t>)</m:t>
              </m:r>
              <m:sSub>
                <m:e>
                  <m:r>
                    <m:t>a</m:t>
                  </m:r>
                </m:e>
                <m:sub>
                  <m:r>
                    <m:t>j</m:t>
                  </m:r>
                </m:sub>
              </m:sSub>
              <m:r>
                <m:rPr>
                  <m:sty m:val="p"/>
                </m:rPr>
                <m:t>(</m:t>
              </m:r>
              <m:r>
                <m:t>c</m:t>
              </m:r>
              <m:r>
                <m:rPr>
                  <m:sty m:val="p"/>
                </m:rPr>
                <m:t>)</m:t>
              </m:r>
            </m:den>
          </m:f>
          <m:r>
            <m:rPr>
              <m:sty m:val="p"/>
            </m:rPr>
            <m:t>,</m:t>
          </m:r>
        </m:oMath>
      </m:oMathPara>
    </w:p>
    <w:p>
      <w:pPr>
        <w:pStyle w:val="FirstParagraph"/>
      </w:pPr>
      <w:r>
        <w:t xml:space="preserve">and define diversity evenness</w:t>
      </w:r>
    </w:p>
    <w:p>
      <w:pPr>
        <w:pStyle w:val="BodyText"/>
      </w:pPr>
      <m:oMathPara>
        <m:oMathParaPr>
          <m:jc m:val="center"/>
        </m:oMathParaPr>
        <m:oMath>
          <m:sSub>
            <m:e>
              <m:r>
                <m:t>H</m:t>
              </m:r>
            </m:e>
            <m:sub>
              <m:r>
                <m:t>A</m:t>
              </m:r>
            </m:sub>
          </m:sSub>
          <m:r>
            <m:rPr>
              <m:sty m:val="p"/>
            </m:rPr>
            <m:t>(</m:t>
          </m:r>
          <m:r>
            <m:t>c</m:t>
          </m:r>
          <m:r>
            <m:rPr>
              <m:sty m:val="p"/>
            </m:rPr>
            <m:t>)</m:t>
          </m:r>
          <m:r>
            <m:rPr>
              <m:sty m:val="p"/>
            </m:rPr>
            <m:t>=</m:t>
          </m:r>
          <m:r>
            <m:rPr>
              <m:sty m:val="p"/>
            </m:rPr>
            <m:t>−</m:t>
          </m:r>
          <m:f>
            <m:fPr>
              <m:type m:val="bar"/>
            </m:fPr>
            <m:num>
              <m:nary>
                <m:naryPr>
                  <m:chr m:val="∑"/>
                  <m:limLoc m:val="undOvr"/>
                  <m:subHide m:val="off"/>
                  <m:supHide m:val="on"/>
                </m:naryPr>
                <m:sub>
                  <m:r>
                    <m:t>k</m:t>
                  </m:r>
                  <m:r>
                    <m:rPr>
                      <m:sty m:val="p"/>
                    </m:rPr>
                    <m:t>:</m:t>
                  </m:r>
                  <m:sSub>
                    <m:e>
                      <m:r>
                        <m:t>a</m:t>
                      </m:r>
                    </m:e>
                    <m:sub>
                      <m:r>
                        <m:t>k</m:t>
                      </m:r>
                    </m:sub>
                  </m:sSub>
                  <m:r>
                    <m:rPr>
                      <m:sty m:val="p"/>
                    </m:rPr>
                    <m:t>=</m:t>
                  </m:r>
                  <m:r>
                    <m:t>1</m:t>
                  </m:r>
                </m:sub>
                <m:sup>
                  <m:r>
                    <m:t>​</m:t>
                  </m:r>
                </m:sup>
                <m:e>
                  <m:sSub>
                    <m:e>
                      <m:r>
                        <m:t>p</m:t>
                      </m:r>
                    </m:e>
                    <m:sub>
                      <m:r>
                        <m:t>k</m:t>
                      </m:r>
                    </m:sub>
                  </m:sSub>
                </m:e>
              </m:nary>
              <m:r>
                <m:rPr>
                  <m:sty m:val="p"/>
                </m:rPr>
                <m:t>(</m:t>
              </m:r>
              <m:r>
                <m:t>c</m:t>
              </m:r>
              <m:r>
                <m:rPr>
                  <m:sty m:val="p"/>
                </m:rPr>
                <m:t>)</m:t>
              </m:r>
              <m:r>
                <m:rPr>
                  <m:sty m:val="p"/>
                </m:rPr>
                <m:t>log</m:t>
              </m:r>
              <m:sSub>
                <m:e>
                  <m:r>
                    <m:t>p</m:t>
                  </m:r>
                </m:e>
                <m:sub>
                  <m:r>
                    <m:t>k</m:t>
                  </m:r>
                </m:sub>
              </m:sSub>
              <m:r>
                <m:rPr>
                  <m:sty m:val="p"/>
                </m:rPr>
                <m:t>(</m:t>
              </m:r>
              <m:r>
                <m:t>c</m:t>
              </m:r>
              <m:r>
                <m:rPr>
                  <m:sty m:val="p"/>
                </m:rPr>
                <m:t>)</m:t>
              </m:r>
            </m:num>
            <m:den>
              <m:r>
                <m:rPr>
                  <m:sty m:val="p"/>
                </m:rPr>
                <m:t>log</m:t>
              </m:r>
              <m:sSub>
                <m:e>
                  <m:r>
                    <m:t>K</m:t>
                  </m:r>
                </m:e>
                <m:sub>
                  <m:r>
                    <m:t>A</m:t>
                  </m:r>
                </m:sub>
              </m:sSub>
              <m:r>
                <m:rPr>
                  <m:sty m:val="p"/>
                </m:rPr>
                <m:t>(</m:t>
              </m:r>
              <m:r>
                <m:t>c</m:t>
              </m:r>
              <m:r>
                <m:rPr>
                  <m:sty m:val="p"/>
                </m:rPr>
                <m:t>)</m:t>
              </m:r>
            </m:den>
          </m:f>
          <m:r>
            <m:rPr>
              <m:sty m:val="p"/>
            </m:rPr>
            <m:t>.</m:t>
          </m:r>
        </m:oMath>
      </m:oMathPara>
    </w:p>
    <w:p>
      <w:pPr>
        <w:pStyle w:val="FirstParagraph"/>
      </w:pPr>
      <w:r>
        <w:rPr>
          <w:b/>
          <w:bCs/>
        </w:rPr>
        <w:t xml:space="preserve">Annotation.</w:t>
      </w:r>
      <w:r>
        <w:t xml:space="preserve"> </w:t>
      </w:r>
      <m:oMath>
        <m:sSub>
          <m:e>
            <m:r>
              <m:t>C</m:t>
            </m:r>
          </m:e>
          <m:sub>
            <m:r>
              <m:t>A</m:t>
            </m:r>
          </m:sub>
        </m:sSub>
      </m:oMath>
      <w:r>
        <w:t xml:space="preserve"> </w:t>
      </w:r>
      <w:r>
        <w:t xml:space="preserve">asks how much of the frozen functional-class space is reachable.</w:t>
      </w:r>
      <w:r>
        <w:t xml:space="preserve"> </w:t>
      </w:r>
      <m:oMath>
        <m:sSub>
          <m:e>
            <m:r>
              <m:t>K</m:t>
            </m:r>
          </m:e>
          <m:sub>
            <m:r>
              <m:t>A</m:t>
            </m:r>
          </m:sub>
        </m:sSub>
      </m:oMath>
      <w:r>
        <w:t xml:space="preserve"> </w:t>
      </w:r>
      <w:r>
        <w:t xml:space="preserve">prevents one heavily weighted class from passing alone.</w:t>
      </w:r>
      <w:r>
        <w:t xml:space="preserve"> </w:t>
      </w:r>
      <m:oMath>
        <m:sSub>
          <m:e>
            <m:r>
              <m:t>H</m:t>
            </m:r>
          </m:e>
          <m:sub>
            <m:r>
              <m:t>A</m:t>
            </m:r>
          </m:sub>
        </m:sSub>
      </m:oMath>
      <w:r>
        <w:t xml:space="preserve"> </w:t>
      </w:r>
      <w:r>
        <w:t xml:space="preserve">prevents one recipient from dominating nearly all causal effect while tiny effects barely cross thresholds elsewhere. For</w:t>
      </w:r>
      <w:r>
        <w:t xml:space="preserve"> </w:t>
      </w:r>
      <m:oMath>
        <m:sSub>
          <m:e>
            <m:r>
              <m:t>K</m:t>
            </m:r>
          </m:e>
          <m:sub>
            <m:r>
              <m:t>A</m:t>
            </m:r>
          </m:sub>
        </m:sSub>
        <m:r>
          <m:rPr>
            <m:sty m:val="p"/>
          </m:rPr>
          <m:t>&lt;</m:t>
        </m:r>
        <m:r>
          <m:t>2</m:t>
        </m:r>
      </m:oMath>
      <w:r>
        <w:t xml:space="preserve">, define</w:t>
      </w:r>
      <w:r>
        <w:t xml:space="preserve"> </w:t>
      </w:r>
      <m:oMath>
        <m:sSub>
          <m:e>
            <m:r>
              <m:t>H</m:t>
            </m:r>
          </m:e>
          <m:sub>
            <m:r>
              <m:t>A</m:t>
            </m:r>
          </m:sub>
        </m:sSub>
        <m:r>
          <m:rPr>
            <m:sty m:val="p"/>
          </m:rPr>
          <m:t>=</m:t>
        </m:r>
        <m:r>
          <m:t>0</m:t>
        </m:r>
      </m:oMath>
      <w:r>
        <w:t xml:space="preserve">. Other diversity indices may be used if preregistered and shown to resist reparcellation.</w:t>
      </w:r>
    </w:p>
    <w:bookmarkEnd w:id="42"/>
    <w:bookmarkStart w:id="43" w:name="report-and-executive-independence"/>
    <w:p>
      <w:pPr>
        <w:pStyle w:val="Heading3"/>
      </w:pPr>
      <w:r>
        <w:t xml:space="preserve">4.8 Report and executive independence</w:t>
      </w:r>
    </w:p>
    <w:p>
      <w:pPr>
        <w:pStyle w:val="FirstParagraph"/>
      </w:pPr>
      <w:r>
        <w:t xml:space="preserve">Let</w:t>
      </w:r>
      <w:r>
        <w:t xml:space="preserve"> </w:t>
      </w:r>
      <m:oMath>
        <m:sSub>
          <m:e>
            <m:r>
              <m:rPr>
                <m:scr m:val="script"/>
                <m:sty m:val="p"/>
              </m:rPr>
              <m:t>M</m:t>
            </m:r>
          </m:e>
          <m:sub>
            <m:r>
              <m:t>R</m:t>
            </m:r>
          </m:sub>
        </m:sSub>
      </m:oMath>
      <w:r>
        <w:t xml:space="preserve"> </w:t>
      </w:r>
      <w:r>
        <w:t xml:space="preserve">contain report-output classes and</w:t>
      </w:r>
      <w:r>
        <w:t xml:space="preserve"> </w:t>
      </w:r>
      <m:oMath>
        <m:sSub>
          <m:e>
            <m:r>
              <m:rPr>
                <m:scr m:val="script"/>
                <m:sty m:val="p"/>
              </m:rPr>
              <m:t>M</m:t>
            </m:r>
          </m:e>
          <m:sub>
            <m:r>
              <m:t>E</m:t>
            </m:r>
          </m:sub>
        </m:sSub>
      </m:oMath>
      <w:r>
        <w:t xml:space="preserve"> </w:t>
      </w:r>
      <w:r>
        <w:t xml:space="preserve">contain executive-control classes, each identified before the content test. Define the nonreport and nonexecutive recipient families</w:t>
      </w:r>
    </w:p>
    <w:p>
      <w:pPr>
        <w:pStyle w:val="BodyText"/>
      </w:pPr>
      <m:oMathPara>
        <m:oMathParaPr>
          <m:jc m:val="center"/>
        </m:oMathParaPr>
        <m:oMath>
          <m:sSup>
            <m:e>
              <m:r>
                <m:rPr>
                  <m:scr m:val="script"/>
                  <m:sty m:val="p"/>
                </m:rPr>
                <m:t>M</m:t>
              </m:r>
            </m:e>
            <m:sup>
              <m:r>
                <m:rPr>
                  <m:sty m:val="p"/>
                </m:rPr>
                <m:t>−</m:t>
              </m:r>
              <m:r>
                <m:t>R</m:t>
              </m:r>
            </m:sup>
          </m:sSup>
          <m:r>
            <m:rPr>
              <m:sty m:val="p"/>
            </m:rPr>
            <m:t>=</m:t>
          </m:r>
          <m:r>
            <m:rPr>
              <m:scr m:val="script"/>
              <m:sty m:val="p"/>
            </m:rPr>
            <m:t>M</m:t>
          </m:r>
          <m:r>
            <m:rPr>
              <m:sty m:val="p"/>
            </m:rPr>
            <m:t>\</m:t>
          </m:r>
          <m:sSub>
            <m:e>
              <m:r>
                <m:rPr>
                  <m:scr m:val="script"/>
                  <m:sty m:val="p"/>
                </m:rPr>
                <m:t>M</m:t>
              </m:r>
            </m:e>
            <m:sub>
              <m:r>
                <m:t>R</m:t>
              </m:r>
            </m:sub>
          </m:sSub>
          <m:r>
            <m:rPr>
              <m:sty m:val="p"/>
            </m:rPr>
            <m:t>,</m:t>
          </m:r>
          <m:r>
            <m:t>  </m:t>
          </m:r>
          <m:sSup>
            <m:e>
              <m:r>
                <m:rPr>
                  <m:scr m:val="script"/>
                  <m:sty m:val="p"/>
                </m:rPr>
                <m:t>M</m:t>
              </m:r>
            </m:e>
            <m:sup>
              <m:r>
                <m:rPr>
                  <m:sty m:val="p"/>
                </m:rPr>
                <m:t>−</m:t>
              </m:r>
              <m:r>
                <m:t>E</m:t>
              </m:r>
            </m:sup>
          </m:sSup>
          <m:r>
            <m:rPr>
              <m:sty m:val="p"/>
            </m:rPr>
            <m:t>=</m:t>
          </m:r>
          <m:r>
            <m:rPr>
              <m:scr m:val="script"/>
              <m:sty m:val="p"/>
            </m:rPr>
            <m:t>M</m:t>
          </m:r>
          <m:r>
            <m:rPr>
              <m:sty m:val="p"/>
            </m:rPr>
            <m:t>\</m:t>
          </m:r>
          <m:sSub>
            <m:e>
              <m:r>
                <m:rPr>
                  <m:scr m:val="script"/>
                  <m:sty m:val="p"/>
                </m:rPr>
                <m:t>M</m:t>
              </m:r>
            </m:e>
            <m:sub>
              <m:r>
                <m:t>E</m:t>
              </m:r>
            </m:sub>
          </m:sSub>
          <m:r>
            <m:rPr>
              <m:sty m:val="p"/>
            </m:rPr>
            <m:t>.</m:t>
          </m:r>
        </m:oMath>
      </m:oMathPara>
    </w:p>
    <w:p>
      <w:pPr>
        <w:pStyle w:val="FirstParagraph"/>
      </w:pPr>
      <w:r>
        <w:t xml:space="preserve">The criterion requires the availability gates to pass on both reduced families, using renormalized preregistered weights:</w:t>
      </w:r>
    </w:p>
    <w:p>
      <w:pPr>
        <w:pStyle w:val="BodyText"/>
      </w:pPr>
      <m:oMathPara>
        <m:oMathParaPr>
          <m:jc m:val="center"/>
        </m:oMathParaPr>
        <m:oMath>
          <m:sSubSup>
            <m:e>
              <m:r>
                <m:t>N</m:t>
              </m:r>
            </m:e>
            <m:sub>
              <m:r>
                <m:t>2</m:t>
              </m:r>
            </m:sub>
            <m:sup>
              <m:r>
                <m:rPr>
                  <m:sty m:val="p"/>
                </m:rPr>
                <m:t>−</m:t>
              </m:r>
              <m:r>
                <m:t>R</m:t>
              </m:r>
            </m:sup>
          </m:sSubSup>
          <m:r>
            <m:rPr>
              <m:sty m:val="p"/>
            </m:rPr>
            <m:t>(</m:t>
          </m:r>
          <m:r>
            <m:t>c</m:t>
          </m:r>
          <m:r>
            <m:rPr>
              <m:sty m:val="p"/>
            </m:rPr>
            <m:t>)</m:t>
          </m:r>
          <m:r>
            <m:rPr>
              <m:sty m:val="p"/>
            </m:rPr>
            <m:t>=</m:t>
          </m:r>
          <m:r>
            <m:t>1</m:t>
          </m:r>
          <m:r>
            <m:rPr>
              <m:sty m:val="p"/>
            </m:rPr>
            <m:t>,</m:t>
          </m:r>
          <m:r>
            <m:t>  </m:t>
          </m:r>
          <m:sSubSup>
            <m:e>
              <m:r>
                <m:t>N</m:t>
              </m:r>
            </m:e>
            <m:sub>
              <m:r>
                <m:t>2</m:t>
              </m:r>
            </m:sub>
            <m:sup>
              <m:r>
                <m:rPr>
                  <m:sty m:val="p"/>
                </m:rPr>
                <m:t>−</m:t>
              </m:r>
              <m:r>
                <m:t>E</m:t>
              </m:r>
            </m:sup>
          </m:sSubSup>
          <m:r>
            <m:rPr>
              <m:sty m:val="p"/>
            </m:rPr>
            <m:t>(</m:t>
          </m:r>
          <m:r>
            <m:t>c</m:t>
          </m:r>
          <m:r>
            <m:rPr>
              <m:sty m:val="p"/>
            </m:rPr>
            <m:t>)</m:t>
          </m:r>
          <m:r>
            <m:rPr>
              <m:sty m:val="p"/>
            </m:rPr>
            <m:t>=</m:t>
          </m:r>
          <m:r>
            <m:t>1</m:t>
          </m:r>
          <m:r>
            <m:rPr>
              <m:sty m:val="p"/>
            </m:rPr>
            <m:t>.</m:t>
          </m:r>
        </m:oMath>
      </m:oMathPara>
    </w:p>
    <w:p>
      <w:pPr>
        <w:pStyle w:val="FirstParagraph"/>
      </w:pPr>
      <w:r>
        <w:rPr>
          <w:b/>
          <w:bCs/>
        </w:rPr>
        <w:t xml:space="preserve">Annotation.</w:t>
      </w:r>
      <w:r>
        <w:t xml:space="preserve"> </w:t>
      </w:r>
      <w:r>
        <w:t xml:space="preserve">This is not a demand for destructive lesions in every experiment. Report and executive channels can be omitted by task design, transiently interrupted, conditionally modeled, or compared across naturally dissociated states. Generic support must be preserved where interruption would otherwise collapse arousal or viability. Report and executive modules can strengthen evidence, but neither can be the sole reason the criterion passes.</w:t>
      </w:r>
    </w:p>
    <w:bookmarkEnd w:id="43"/>
    <w:bookmarkStart w:id="44" w:name="the-positive-n_2-rule"/>
    <w:p>
      <w:pPr>
        <w:pStyle w:val="Heading3"/>
      </w:pPr>
      <w:r>
        <w:t xml:space="preserve">4.9 The positive</w:t>
      </w:r>
      <w:r>
        <w:t xml:space="preserve"> </w:t>
      </w:r>
      <m:oMath>
        <m:sSub>
          <m:e>
            <m:r>
              <m:t>N</m:t>
            </m:r>
          </m:e>
          <m:sub>
            <m:r>
              <m:t>2</m:t>
            </m:r>
          </m:sub>
        </m:sSub>
      </m:oMath>
      <w:r>
        <w:t xml:space="preserve"> </w:t>
      </w:r>
      <w:r>
        <w:t xml:space="preserve">rule</w:t>
      </w:r>
    </w:p>
    <w:p>
      <w:pPr>
        <w:pStyle w:val="FirstParagraph"/>
      </w:pPr>
      <w:r>
        <w:t xml:space="preserve">For a valid specification, counterfactual system-wide availability is</w:t>
      </w:r>
    </w:p>
    <w:p>
      <w:pPr>
        <w:pStyle w:val="BodyText"/>
      </w:pPr>
      <m:oMathPara>
        <m:oMathParaPr>
          <m:jc m:val="center"/>
        </m:oMathParaPr>
        <m:oMath>
          <m:sSub>
            <m:e>
              <m:r>
                <m:t>N</m:t>
              </m:r>
            </m:e>
            <m:sub>
              <m:r>
                <m:t>2</m:t>
              </m:r>
            </m:sub>
          </m:sSub>
          <m:r>
            <m:rPr>
              <m:sty m:val="p"/>
            </m:rPr>
            <m:t>(</m:t>
          </m:r>
          <m:r>
            <m:t>S</m:t>
          </m:r>
          <m:r>
            <m:rPr>
              <m:sty m:val="p"/>
            </m:rPr>
            <m:t>,</m:t>
          </m:r>
          <m:r>
            <m:t>c</m:t>
          </m:r>
          <m:r>
            <m:rPr>
              <m:sty m:val="p"/>
            </m:rPr>
            <m:t>;</m:t>
          </m:r>
          <m:sSub>
            <m:e>
              <m:r>
                <m:rPr>
                  <m:sty m:val="p"/>
                </m:rPr>
                <m:t>Θ</m:t>
              </m:r>
            </m:e>
            <m:sub>
              <m:r>
                <m:t>A</m:t>
              </m:r>
            </m:sub>
          </m:sSub>
          <m:r>
            <m:rPr>
              <m:sty m:val="p"/>
            </m:rPr>
            <m:t>)</m:t>
          </m:r>
          <m:r>
            <m:rPr>
              <m:sty m:val="p"/>
            </m:rPr>
            <m:t>=</m:t>
          </m:r>
          <m:r>
            <m:t>1</m:t>
          </m:r>
        </m:oMath>
      </m:oMathPara>
    </w:p>
    <w:p>
      <w:pPr>
        <w:pStyle w:val="FirstParagraph"/>
      </w:pPr>
      <w:r>
        <w:t xml:space="preserve">only if</w:t>
      </w:r>
    </w:p>
    <w:p>
      <w:pPr>
        <w:pStyle w:val="BodyText"/>
      </w:pPr>
      <m:oMathPara>
        <m:oMathParaPr>
          <m:jc m:val="center"/>
        </m:oMathParaPr>
        <m:oMath>
          <m:sSub>
            <m:e>
              <m:r>
                <m:t>C</m:t>
              </m:r>
            </m:e>
            <m:sub>
              <m:r>
                <m:t>A</m:t>
              </m:r>
            </m:sub>
          </m:sSub>
          <m:r>
            <m:rPr>
              <m:sty m:val="p"/>
            </m:rPr>
            <m:t>(</m:t>
          </m:r>
          <m:r>
            <m:t>c</m:t>
          </m:r>
          <m:r>
            <m:rPr>
              <m:sty m:val="p"/>
            </m:rPr>
            <m:t>)</m:t>
          </m:r>
          <m:r>
            <m:rPr>
              <m:sty m:val="p"/>
            </m:rPr>
            <m:t>≥</m:t>
          </m:r>
          <m:r>
            <m:t>α</m:t>
          </m:r>
          <m:r>
            <m:rPr>
              <m:sty m:val="p"/>
            </m:rPr>
            <m:t>,</m:t>
          </m:r>
          <m:r>
            <m:t> </m:t>
          </m:r>
          <m:sSub>
            <m:e>
              <m:r>
                <m:t>K</m:t>
              </m:r>
            </m:e>
            <m:sub>
              <m:r>
                <m:t>A</m:t>
              </m:r>
            </m:sub>
          </m:sSub>
          <m:r>
            <m:rPr>
              <m:sty m:val="p"/>
            </m:rPr>
            <m:t>(</m:t>
          </m:r>
          <m:r>
            <m:t>c</m:t>
          </m:r>
          <m:r>
            <m:rPr>
              <m:sty m:val="p"/>
            </m:rPr>
            <m:t>)</m:t>
          </m:r>
          <m:r>
            <m:rPr>
              <m:sty m:val="p"/>
            </m:rPr>
            <m:t>≥</m:t>
          </m:r>
          <m:r>
            <m:t>m</m:t>
          </m:r>
          <m:r>
            <m:rPr>
              <m:sty m:val="p"/>
            </m:rPr>
            <m:t>,</m:t>
          </m:r>
          <m:r>
            <m:t> </m:t>
          </m:r>
          <m:sSub>
            <m:e>
              <m:r>
                <m:t>H</m:t>
              </m:r>
            </m:e>
            <m:sub>
              <m:r>
                <m:t>A</m:t>
              </m:r>
            </m:sub>
          </m:sSub>
          <m:r>
            <m:rPr>
              <m:sty m:val="p"/>
            </m:rPr>
            <m:t>(</m:t>
          </m:r>
          <m:r>
            <m:t>c</m:t>
          </m:r>
          <m:r>
            <m:rPr>
              <m:sty m:val="p"/>
            </m:rPr>
            <m:t>)</m:t>
          </m:r>
          <m:r>
            <m:rPr>
              <m:sty m:val="p"/>
            </m:rPr>
            <m:t>≥</m:t>
          </m:r>
          <m:r>
            <m:t>η</m:t>
          </m:r>
          <m:r>
            <m:rPr>
              <m:sty m:val="p"/>
            </m:rPr>
            <m:t>,</m:t>
          </m:r>
          <m:r>
            <m:t> </m:t>
          </m:r>
          <m:sSubSup>
            <m:e>
              <m:r>
                <m:t>N</m:t>
              </m:r>
            </m:e>
            <m:sub>
              <m:r>
                <m:t>2</m:t>
              </m:r>
            </m:sub>
            <m:sup>
              <m:r>
                <m:rPr>
                  <m:sty m:val="p"/>
                </m:rPr>
                <m:t>−</m:t>
              </m:r>
              <m:r>
                <m:t>R</m:t>
              </m:r>
            </m:sup>
          </m:sSubSup>
          <m:r>
            <m:rPr>
              <m:sty m:val="p"/>
            </m:rPr>
            <m:t>(</m:t>
          </m:r>
          <m:r>
            <m:t>c</m:t>
          </m:r>
          <m:r>
            <m:rPr>
              <m:sty m:val="p"/>
            </m:rPr>
            <m:t>)</m:t>
          </m:r>
          <m:r>
            <m:rPr>
              <m:sty m:val="p"/>
            </m:rPr>
            <m:t>=</m:t>
          </m:r>
          <m:r>
            <m:t>1</m:t>
          </m:r>
          <m:r>
            <m:rPr>
              <m:sty m:val="p"/>
            </m:rPr>
            <m:t>,</m:t>
          </m:r>
          <m:r>
            <m:t> </m:t>
          </m:r>
          <m:sSubSup>
            <m:e>
              <m:r>
                <m:t>N</m:t>
              </m:r>
            </m:e>
            <m:sub>
              <m:r>
                <m:t>2</m:t>
              </m:r>
            </m:sub>
            <m:sup>
              <m:r>
                <m:rPr>
                  <m:sty m:val="p"/>
                </m:rPr>
                <m:t>−</m:t>
              </m:r>
              <m:r>
                <m:t>E</m:t>
              </m:r>
            </m:sup>
          </m:sSubSup>
          <m:r>
            <m:rPr>
              <m:sty m:val="p"/>
            </m:rPr>
            <m:t>(</m:t>
          </m:r>
          <m:r>
            <m:t>c</m:t>
          </m:r>
          <m:r>
            <m:rPr>
              <m:sty m:val="p"/>
            </m:rPr>
            <m:t>)</m:t>
          </m:r>
          <m:r>
            <m:rPr>
              <m:sty m:val="p"/>
            </m:rPr>
            <m:t>=</m:t>
          </m:r>
          <m:r>
            <m:t>1</m:t>
          </m:r>
          <m:r>
            <m:rPr>
              <m:sty m:val="p"/>
            </m:rPr>
            <m:t>.</m:t>
          </m:r>
        </m:oMath>
      </m:oMathPara>
    </w:p>
    <w:p>
      <w:pPr>
        <w:pStyle w:val="FirstParagraph"/>
      </w:pPr>
      <w:r>
        <w:rPr>
          <w:b/>
          <w:bCs/>
        </w:rPr>
        <w:t xml:space="preserve">Plain-language reading.</w:t>
      </w:r>
      <w:r>
        <w:t xml:space="preserve"> </w:t>
      </w:r>
      <w:r>
        <w:t xml:space="preserve">A content must have timely, selective, route-supported causal effects across enough independently distinct recipient classes, with no dependence on report or executive uptake for the positive result.</w:t>
      </w:r>
    </w:p>
    <w:p>
      <w:pPr>
        <w:pStyle w:val="BodyText"/>
      </w:pPr>
      <w:r>
        <w:t xml:space="preserve">The rule does not require every class. Some recipients may be irrelevant to the content, unavailable in the current regime, or ethically inaccessible. The thresholds are paradigm-specific and must be calibrated against positive controls, negative controls, and unconscious spread cases.</w:t>
      </w:r>
    </w:p>
    <w:bookmarkEnd w:id="44"/>
    <w:bookmarkStart w:id="45" w:name="four-component-outcomes"/>
    <w:p>
      <w:pPr>
        <w:pStyle w:val="Heading3"/>
      </w:pPr>
      <w:r>
        <w:t xml:space="preserve">4.10 Four component outcomes</w:t>
      </w:r>
    </w:p>
    <w:p>
      <w:pPr>
        <w:pStyle w:val="FirstParagraph"/>
      </w:pPr>
      <w:r>
        <w:t xml:space="preserve">The</w:t>
      </w:r>
      <w:r>
        <w:t xml:space="preserve"> </w:t>
      </w:r>
      <m:oMath>
        <m:sSub>
          <m:e>
            <m:r>
              <m:t>N</m:t>
            </m:r>
          </m:e>
          <m:sub>
            <m:r>
              <m:t>2</m:t>
            </m:r>
          </m:sub>
        </m:sSub>
      </m:oMath>
      <w:r>
        <w:t xml:space="preserve"> </w:t>
      </w:r>
      <w:r>
        <w:t xml:space="preserve">assessment returns one of four results:</w:t>
      </w:r>
    </w:p>
    <w:tbl>
      <w:tblPr>
        <w:tblW w:type="pct" w:w="5000"/>
        <w:jc w:val="center"/>
        <w:tblLayout w:type="fixed"/>
        <w:tblLook w:firstRow="1" w:lastRow="0" w:firstColumn="0" w:lastColumn="0" w:noHBand="0" w:noVBand="0" w:val="0020"/>
      </w:tblPr>
      <w:tblGrid>
        <w:gridCol w:w="1188"/>
        <w:gridCol w:w="3801"/>
        <w:gridCol w:w="2930"/>
      </w:tblGrid>
      <w:tr>
        <w:trPr>
          <w:tblHeader w:val="on"/>
          <w:cantSplit/>
          <w:tblHeader w:val="true"/>
        </w:trPr>
        <w:tc>
          <w:tcPr>
            <w:tcW w:type="dxa" w:w="1404"/>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Status</w:t>
            </w:r>
          </w:p>
        </w:tc>
        <w:tc>
          <w:tcPr>
            <w:tcW w:type="dxa" w:w="4493"/>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Formal condition</w:t>
            </w:r>
          </w:p>
        </w:tc>
        <w:tc>
          <w:tcPr>
            <w:tcW w:type="dxa" w:w="3463"/>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Interpretation</w:t>
            </w:r>
          </w:p>
        </w:tc>
      </w:tr>
      <w:tr>
        <w:trPr>
          <w:cantSplit/>
        </w:trPr>
        <w:tc>
          <w:tcPr>
            <w:tcW w:type="dxa" w:w="1404"/>
            <w:shd w:fill="FFFFFF" w:val="clear"/>
          </w:tcPr>
          <w:p>
            <w:pPr>
              <w:pStyle w:val="Compact"/>
              <w:spacing w:after="60"/>
            </w:pPr>
            <w:r>
              <w:rPr>
                <w:rFonts w:ascii="Times New Roman" w:hAnsi="Times New Roman" w:eastAsia="Times New Roman"/>
                <w:sz w:val="18"/>
              </w:rPr>
              <w:t xml:space="preserve">Positive</w:t>
            </w:r>
          </w:p>
        </w:tc>
        <w:tc>
          <w:tcPr>
            <w:tcW w:type="dxa" w:w="4493"/>
            <w:shd w:fill="FFFFFF" w:val="clear"/>
          </w:tcPr>
          <w:p>
            <w:pPr>
              <w:pStyle w:val="Compact"/>
              <w:spacing w:after="60"/>
            </w:pPr>
            <w:r>
              <w:rPr>
                <w:rFonts w:ascii="Times New Roman" w:hAnsi="Times New Roman" w:eastAsia="Times New Roman"/>
                <w:sz w:val="18"/>
              </w:rPr>
              <w:t xml:space="preserve">Every required lower or upper bound clears its gate, including reduced-family tests.</w:t>
            </w:r>
          </w:p>
        </w:tc>
        <w:tc>
          <w:tcPr>
            <w:tcW w:type="dxa" w:w="3463"/>
            <w:shd w:fill="FFFFFF" w:val="clear"/>
          </w:tcPr>
          <w:p>
            <w:pPr>
              <w:pStyle w:val="Compact"/>
              <w:spacing w:after="60"/>
            </w:pPr>
            <w:r>
              <w:rPr>
                <w:rFonts w:ascii="Times New Roman" w:hAnsi="Times New Roman" w:eastAsia="Times New Roman"/>
                <w:sz w:val="18"/>
              </w:rPr>
              <w:t xml:space="preserve">Counterfactual system-wide availability is supported for this content and specification.</w:t>
            </w:r>
          </w:p>
        </w:tc>
      </w:tr>
      <w:tr>
        <w:trPr>
          <w:cantSplit/>
        </w:trPr>
        <w:tc>
          <w:tcPr>
            <w:tcW w:type="dxa" w:w="1404"/>
            <w:shd w:fill="EAF1F6" w:val="clear"/>
          </w:tcPr>
          <w:p>
            <w:pPr>
              <w:pStyle w:val="Compact"/>
              <w:spacing w:after="60"/>
            </w:pPr>
            <w:r>
              <w:rPr>
                <w:rFonts w:ascii="Times New Roman" w:hAnsi="Times New Roman" w:eastAsia="Times New Roman"/>
                <w:sz w:val="18"/>
              </w:rPr>
              <w:t xml:space="preserve">Negative</w:t>
            </w:r>
          </w:p>
        </w:tc>
        <w:tc>
          <w:tcPr>
            <w:tcW w:type="dxa" w:w="4493"/>
            <w:shd w:fill="EAF1F6" w:val="clear"/>
          </w:tcPr>
          <w:p>
            <w:pPr>
              <w:pStyle w:val="Compact"/>
              <w:spacing w:after="60"/>
            </w:pPr>
            <w:r>
              <w:rPr>
                <w:rFonts w:ascii="Times New Roman" w:hAnsi="Times New Roman" w:eastAsia="Times New Roman"/>
                <w:sz w:val="18"/>
              </w:rPr>
              <w:t xml:space="preserve">The test is valid and an upper bound falls below at least one necessary recipient, context-robustness, coverage, class-count, diversity, or reduced-family gate.</w:t>
            </w:r>
          </w:p>
        </w:tc>
        <w:tc>
          <w:tcPr>
            <w:tcW w:type="dxa" w:w="3463"/>
            <w:shd w:fill="EAF1F6" w:val="clear"/>
          </w:tcPr>
          <w:p>
            <w:pPr>
              <w:pStyle w:val="Compact"/>
              <w:spacing w:after="60"/>
            </w:pPr>
            <w:r>
              <w:rPr>
                <w:rFonts w:ascii="Times New Roman" w:hAnsi="Times New Roman" w:eastAsia="Times New Roman"/>
                <w:sz w:val="18"/>
              </w:rPr>
              <w:t xml:space="preserve">Evidence supports failure of</w:t>
            </w:r>
            <w:r>
              <w:rPr>
                <w:rFonts w:ascii="Times New Roman" w:hAnsi="Times New Roman" w:eastAsia="Times New Roman"/>
                <w:sz w:val="18"/>
              </w:rPr>
              <w:t xml:space="preserve"> </w:t>
            </w:r>
            <m:oMath>
              <m:sSub>
                <m:e>
                  <m:r>
                    <m:t>N</m:t>
                  </m:r>
                </m:e>
                <m:sub>
                  <m:r>
                    <m:t>2</m:t>
                  </m:r>
                </m:sub>
              </m:sSub>
            </m:oMath>
            <w:r>
              <w:rPr>
                <w:rFonts w:ascii="Times New Roman" w:hAnsi="Times New Roman" w:eastAsia="Times New Roman"/>
                <w:sz w:val="18"/>
              </w:rPr>
              <w:t xml:space="preserve"> </w:t>
            </w:r>
            <w:r>
              <w:rPr>
                <w:rFonts w:ascii="Times New Roman" w:hAnsi="Times New Roman" w:eastAsia="Times New Roman"/>
                <w:sz w:val="18"/>
              </w:rPr>
              <w:t xml:space="preserve">under this specification.</w:t>
            </w:r>
          </w:p>
        </w:tc>
      </w:tr>
      <w:tr>
        <w:trPr>
          <w:cantSplit/>
        </w:trPr>
        <w:tc>
          <w:tcPr>
            <w:tcW w:type="dxa" w:w="1404"/>
            <w:shd w:fill="FFFFFF" w:val="clear"/>
          </w:tcPr>
          <w:p>
            <w:pPr>
              <w:pStyle w:val="Compact"/>
              <w:spacing w:after="60"/>
            </w:pPr>
            <w:r>
              <w:rPr>
                <w:rFonts w:ascii="Times New Roman" w:hAnsi="Times New Roman" w:eastAsia="Times New Roman"/>
                <w:sz w:val="18"/>
              </w:rPr>
              <w:t xml:space="preserve">Indeterminate</w:t>
            </w:r>
          </w:p>
        </w:tc>
        <w:tc>
          <w:tcPr>
            <w:tcW w:type="dxa" w:w="4493"/>
            <w:shd w:fill="FFFFFF" w:val="clear"/>
          </w:tcPr>
          <w:p>
            <w:pPr>
              <w:pStyle w:val="Compact"/>
              <w:spacing w:after="60"/>
            </w:pPr>
            <w:r>
              <w:rPr>
                <w:rFonts w:ascii="Times New Roman" w:hAnsi="Times New Roman" w:eastAsia="Times New Roman"/>
                <w:sz w:val="18"/>
              </w:rPr>
              <w:t xml:space="preserve">Valid estimates straddle thresholds, credible surrogates conflict, or perturbation coverage is insufficient to discriminate.</w:t>
            </w:r>
          </w:p>
        </w:tc>
        <w:tc>
          <w:tcPr>
            <w:tcW w:type="dxa" w:w="3463"/>
            <w:shd w:fill="FFFFFF" w:val="clear"/>
          </w:tcPr>
          <w:p>
            <w:pPr>
              <w:pStyle w:val="Compact"/>
              <w:spacing w:after="60"/>
            </w:pPr>
            <w:r>
              <w:rPr>
                <w:rFonts w:ascii="Times New Roman" w:hAnsi="Times New Roman" w:eastAsia="Times New Roman"/>
                <w:sz w:val="18"/>
              </w:rPr>
              <w:t xml:space="preserve">The evidence bears on</w:t>
            </w:r>
            <w:r>
              <w:rPr>
                <w:rFonts w:ascii="Times New Roman" w:hAnsi="Times New Roman" w:eastAsia="Times New Roman"/>
                <w:sz w:val="18"/>
              </w:rPr>
              <w:t xml:space="preserve"> </w:t>
            </w:r>
            <m:oMath>
              <m:sSub>
                <m:e>
                  <m:r>
                    <m:t>N</m:t>
                  </m:r>
                </m:e>
                <m:sub>
                  <m:r>
                    <m:t>2</m:t>
                  </m:r>
                </m:sub>
              </m:sSub>
            </m:oMath>
            <w:r>
              <w:rPr>
                <w:rFonts w:ascii="Times New Roman" w:hAnsi="Times New Roman" w:eastAsia="Times New Roman"/>
                <w:sz w:val="18"/>
              </w:rPr>
              <w:t xml:space="preserve"> </w:t>
            </w:r>
            <w:r>
              <w:rPr>
                <w:rFonts w:ascii="Times New Roman" w:hAnsi="Times New Roman" w:eastAsia="Times New Roman"/>
                <w:sz w:val="18"/>
              </w:rPr>
              <w:t xml:space="preserve">but does not settle it.</w:t>
            </w:r>
          </w:p>
        </w:tc>
      </w:tr>
      <w:tr>
        <w:trPr>
          <w:cantSplit/>
        </w:trPr>
        <w:tc>
          <w:tcPr>
            <w:tcW w:type="dxa" w:w="1404"/>
            <w:shd w:fill="EAF1F6" w:val="clear"/>
          </w:tcPr>
          <w:p>
            <w:pPr>
              <w:pStyle w:val="Compact"/>
              <w:spacing w:after="60"/>
            </w:pPr>
            <w:r>
              <w:rPr>
                <w:rFonts w:ascii="Times New Roman" w:hAnsi="Times New Roman" w:eastAsia="Times New Roman"/>
                <w:sz w:val="18"/>
              </w:rPr>
              <w:t xml:space="preserve">Unlicensed</w:t>
            </w:r>
          </w:p>
        </w:tc>
        <w:tc>
          <w:tcPr>
            <w:tcW w:type="dxa" w:w="4493"/>
            <w:shd w:fill="EAF1F6" w:val="clear"/>
          </w:tcPr>
          <w:p>
            <w:pPr>
              <w:pStyle w:val="Compact"/>
              <w:spacing w:after="60"/>
            </w:pPr>
            <w:r>
              <w:rPr>
                <w:rFonts w:ascii="Times New Roman" w:hAnsi="Times New Roman" w:eastAsia="Times New Roman"/>
                <w:sz w:val="18"/>
              </w:rPr>
              <w:t xml:space="preserve">Boundary, source fidelity, recipient taxonomy, admissible-context, regime-preservation, intervention, or transport validity fails.</w:t>
            </w:r>
          </w:p>
        </w:tc>
        <w:tc>
          <w:tcPr>
            <w:tcW w:type="dxa" w:w="3463"/>
            <w:shd w:fill="EAF1F6" w:val="clear"/>
          </w:tcPr>
          <w:p>
            <w:pPr>
              <w:pStyle w:val="Compact"/>
              <w:spacing w:after="60"/>
            </w:pPr>
            <w:r>
              <w:rPr>
                <w:rFonts w:ascii="Times New Roman" w:hAnsi="Times New Roman" w:eastAsia="Times New Roman"/>
                <w:sz w:val="18"/>
              </w:rPr>
              <w:t xml:space="preserve">No interpretable</w:t>
            </w:r>
            <w:r>
              <w:rPr>
                <w:rFonts w:ascii="Times New Roman" w:hAnsi="Times New Roman" w:eastAsia="Times New Roman"/>
                <w:sz w:val="18"/>
              </w:rPr>
              <w:t xml:space="preserve"> </w:t>
            </w:r>
            <m:oMath>
              <m:sSub>
                <m:e>
                  <m:r>
                    <m:t>N</m:t>
                  </m:r>
                </m:e>
                <m:sub>
                  <m:r>
                    <m:t>2</m:t>
                  </m:r>
                </m:sub>
              </m:sSub>
            </m:oMath>
            <w:r>
              <w:rPr>
                <w:rFonts w:ascii="Times New Roman" w:hAnsi="Times New Roman" w:eastAsia="Times New Roman"/>
                <w:sz w:val="18"/>
              </w:rPr>
              <w:t xml:space="preserve"> </w:t>
            </w:r>
            <w:r>
              <w:rPr>
                <w:rFonts w:ascii="Times New Roman" w:hAnsi="Times New Roman" w:eastAsia="Times New Roman"/>
                <w:sz w:val="18"/>
              </w:rPr>
              <w:t xml:space="preserve">result is available.</w:t>
            </w:r>
          </w:p>
        </w:tc>
      </w:tr>
    </w:tbl>
    <w:p>
      <w:pPr>
        <w:pStyle w:val="BodyText"/>
      </w:pPr>
      <w:r>
        <w:rPr>
          <w:b/>
          <w:bCs/>
        </w:rPr>
        <w:t xml:space="preserve">Annotation.</w:t>
      </w:r>
      <w:r>
        <w:t xml:space="preserve"> </w:t>
      </w:r>
      <w:r>
        <w:t xml:space="preserve">A negative component result is not automatically a negative consciousness result outside the</w:t>
      </w:r>
      <w:r>
        <w:t xml:space="preserve"> </w:t>
      </w:r>
      <m:oMath>
        <m:sSup>
          <m:e>
            <m:r>
              <m:t>N</m:t>
            </m:r>
          </m:e>
          <m:sup>
            <m:r>
              <m:rPr>
                <m:sty m:val="p"/>
              </m:rPr>
              <m:t>*</m:t>
            </m:r>
          </m:sup>
        </m:sSup>
      </m:oMath>
      <w:r>
        <w:t xml:space="preserve"> </w:t>
      </w:r>
      <w:r>
        <w:t xml:space="preserve">model. Indeterminate is not halfway positive. Unlicensed is not evidence of absence. The output must carry its target, system, content, grain, horizon, and intervention coverage.</w:t>
      </w:r>
    </w:p>
    <w:bookmarkEnd w:id="45"/>
    <w:bookmarkEnd w:id="46"/>
    <w:bookmarkStart w:id="55" w:name="a-counterfactual-availability-workflow"/>
    <w:p>
      <w:pPr>
        <w:pStyle w:val="Heading2"/>
      </w:pPr>
      <w:r>
        <w:t xml:space="preserve">5. A Counterfactual Availability Workflow</w:t>
      </w:r>
    </w:p>
    <w:bookmarkStart w:id="47" w:name="stage-1-freeze-the-candidate-system"/>
    <w:p>
      <w:pPr>
        <w:pStyle w:val="Heading3"/>
      </w:pPr>
      <w:r>
        <w:t xml:space="preserve">5.1 Stage 1: Freeze the candidate system</w:t>
      </w:r>
    </w:p>
    <w:p>
      <w:pPr>
        <w:pStyle w:val="FirstParagraph"/>
      </w:pPr>
      <w:r>
        <w:t xml:space="preserve">Apply a boundary criterion before computing reach. Archive the nodes, interfaces, grain, horizon, and operating regime. A result is exploratory if the boundary changes after availability estimates are inspected.</w:t>
      </w:r>
    </w:p>
    <w:bookmarkEnd w:id="47"/>
    <w:bookmarkStart w:id="48" w:name="stage-2-specify-the-content-contrast"/>
    <w:p>
      <w:pPr>
        <w:pStyle w:val="Heading3"/>
      </w:pPr>
      <w:r>
        <w:t xml:space="preserve">5.2 Stage 2: Specify the content contrast</w:t>
      </w:r>
    </w:p>
    <w:p>
      <w:pPr>
        <w:pStyle w:val="FirstParagraph"/>
      </w:pPr>
      <w:r>
        <w:t xml:space="preserve">Define</w:t>
      </w:r>
      <w:r>
        <w:t xml:space="preserve"> </w:t>
      </w:r>
      <m:oMath>
        <m:r>
          <m:t>c</m:t>
        </m:r>
      </m:oMath>
      <w:r>
        <w:t xml:space="preserve"> </w:t>
      </w:r>
      <w:r>
        <w:t xml:space="preserve">and a matched control</w:t>
      </w:r>
      <w:r>
        <w:t xml:space="preserve"> </w:t>
      </w:r>
      <m:oMath>
        <m:sSub>
          <m:e>
            <m:r>
              <m:t>c</m:t>
            </m:r>
          </m:e>
          <m:sub>
            <m:r>
              <m:t>0</m:t>
            </m:r>
          </m:sub>
        </m:sSub>
      </m:oMath>
      <w:r>
        <w:t xml:space="preserve">. Identify content-bearing variables without using report-related activity as the sole localizer. Use cross-decoding, physical alternation, rivalry, stimulation, or generative model interventions as appropriate.</w:t>
      </w:r>
    </w:p>
    <w:bookmarkEnd w:id="48"/>
    <w:bookmarkStart w:id="49" w:name="X868e32d6c5884e0c8beca77b62a3bbeba2d9d73"/>
    <w:p>
      <w:pPr>
        <w:pStyle w:val="Heading3"/>
      </w:pPr>
      <w:r>
        <w:t xml:space="preserve">5.3 Stage 3: Build recipient classes independently</w:t>
      </w:r>
    </w:p>
    <w:p>
      <w:pPr>
        <w:pStyle w:val="FirstParagraph"/>
      </w:pPr>
      <w:r>
        <w:t xml:space="preserve">Estimate causal response repertoires on calibration data and freeze the class taxonomy. Compare anatomical, functional, and causal clusterings in sensitivity analysis.</w:t>
      </w:r>
    </w:p>
    <w:bookmarkEnd w:id="49"/>
    <w:bookmarkStart w:id="50" w:name="Xd94e544b35ae47b33828494ebd03130e4cbce1c"/>
    <w:p>
      <w:pPr>
        <w:pStyle w:val="Heading3"/>
      </w:pPr>
      <w:r>
        <w:t xml:space="preserve">5.4 Stage 4: Declare nearby admissible contexts</w:t>
      </w:r>
    </w:p>
    <w:p>
      <w:pPr>
        <w:pStyle w:val="FirstParagraph"/>
      </w:pPr>
      <w:r>
        <w:t xml:space="preserve">Specify which local readiness probes are allowed, the burden functional</w:t>
      </w:r>
      <w:r>
        <w:t xml:space="preserve"> </w:t>
      </w:r>
      <m:oMath>
        <m:r>
          <m:rPr>
            <m:sty m:val="p"/>
          </m:rPr>
          <m:t>Γ</m:t>
        </m:r>
      </m:oMath>
      <w:r>
        <w:t xml:space="preserve">, the maximum burden</w:t>
      </w:r>
      <w:r>
        <w:t xml:space="preserve"> </w:t>
      </w:r>
      <m:oMath>
        <m:r>
          <m:t>γ</m:t>
        </m:r>
      </m:oMath>
      <w:r>
        <w:t xml:space="preserve">, and how regime preservation will be tested. Freeze the context weights</w:t>
      </w:r>
      <w:r>
        <w:t xml:space="preserve"> </w:t>
      </w:r>
      <m:oMath>
        <m:sSub>
          <m:e>
            <m:r>
              <m:t>ν</m:t>
            </m:r>
          </m:e>
          <m:sub>
            <m:r>
              <m:t>k</m:t>
            </m:r>
          </m:sub>
        </m:sSub>
      </m:oMath>
      <w:r>
        <w:t xml:space="preserve"> </w:t>
      </w:r>
      <w:r>
        <w:t xml:space="preserve">and robustness threshold</w:t>
      </w:r>
      <w:r>
        <w:t xml:space="preserve"> </w:t>
      </w:r>
      <m:oMath>
        <m:sSub>
          <m:e>
            <m:r>
              <m:t>ρ</m:t>
            </m:r>
          </m:e>
          <m:sub>
            <m:r>
              <m:t>U</m:t>
            </m:r>
          </m:sub>
        </m:sSub>
      </m:oMath>
      <w:r>
        <w:t xml:space="preserve"> </w:t>
      </w:r>
      <w:r>
        <w:t xml:space="preserve">before the critical test. Exclude contexts that add a new controller, require long retraining, or make report the only measurable output.</w:t>
      </w:r>
    </w:p>
    <w:bookmarkEnd w:id="50"/>
    <w:bookmarkStart w:id="51" w:name="Xda0a730f4b7a4f546d2a983398d7593931dd0a9"/>
    <w:p>
      <w:pPr>
        <w:pStyle w:val="Heading3"/>
      </w:pPr>
      <w:r>
        <w:t xml:space="preserve">5.5 Stage 5: Run matched content interventions</w:t>
      </w:r>
    </w:p>
    <w:p>
      <w:pPr>
        <w:pStyle w:val="FirstParagraph"/>
      </w:pPr>
      <w:r>
        <w:t xml:space="preserve">Verify that the source intervention preserves the intended content contrast, then estimate content effects, latency, and context robustness for every recipient class. Match energy, duration, source support, and global state. Exclude directly manipulated source dimensions from recipient readouts. Include shuffled-content, common-input, source-leakage, and passive-propagation controls.</w:t>
      </w:r>
    </w:p>
    <w:bookmarkEnd w:id="51"/>
    <w:bookmarkStart w:id="52" w:name="stage-6-test-routes"/>
    <w:p>
      <w:pPr>
        <w:pStyle w:val="Heading3"/>
      </w:pPr>
      <w:r>
        <w:t xml:space="preserve">5.6 Stage 6: Test routes</w:t>
      </w:r>
    </w:p>
    <w:p>
      <w:pPr>
        <w:pStyle w:val="FirstParagraph"/>
      </w:pPr>
      <w:r>
        <w:t xml:space="preserve">Interrupt nominated routes while preserving generic support and local excitability. In redundant systems, use route-family or mediation analyses that cover plausible alternatives.</w:t>
      </w:r>
    </w:p>
    <w:bookmarkEnd w:id="52"/>
    <w:bookmarkStart w:id="53" w:name="X46bd5fc88078852849f30b441effe0504027800"/>
    <w:p>
      <w:pPr>
        <w:pStyle w:val="Heading3"/>
      </w:pPr>
      <w:r>
        <w:t xml:space="preserve">5.7 Stage 7: Remove report and executive dependence</w:t>
      </w:r>
    </w:p>
    <w:p>
      <w:pPr>
        <w:pStyle w:val="FirstParagraph"/>
      </w:pPr>
      <w:r>
        <w:t xml:space="preserve">Recompute coverage and diversity after excluding report and executive classes. Use no-report conditions, motor dissociations, task omission, or model-based channel interruption.</w:t>
      </w:r>
    </w:p>
    <w:bookmarkEnd w:id="53"/>
    <w:bookmarkStart w:id="54" w:name="stage-8-stress-test-and-classify"/>
    <w:p>
      <w:pPr>
        <w:pStyle w:val="Heading3"/>
      </w:pPr>
      <w:r>
        <w:t xml:space="preserve">5.8 Stage 8: Stress-test and classify</w:t>
      </w:r>
    </w:p>
    <w:p>
      <w:pPr>
        <w:pStyle w:val="FirstParagraph"/>
      </w:pPr>
      <w:r>
        <w:t xml:space="preserve">Vary reasonable grains, taxonomies, estimators, latency bounds, and intervention designs. Return positive, negative, indeterminate, or unlicensed. Preserve all failed gates and unresolved classes.</w:t>
      </w:r>
    </w:p>
    <w:bookmarkEnd w:id="54"/>
    <w:bookmarkEnd w:id="55"/>
    <w:bookmarkStart w:id="64" w:name="worked-applications"/>
    <w:p>
      <w:pPr>
        <w:pStyle w:val="Heading2"/>
      </w:pPr>
      <w:r>
        <w:t xml:space="preserve">6. Worked Applications</w:t>
      </w:r>
    </w:p>
    <w:bookmarkStart w:id="56" w:name="no-report-binocular-rivalry"/>
    <w:p>
      <w:pPr>
        <w:pStyle w:val="Heading3"/>
      </w:pPr>
      <w:r>
        <w:t xml:space="preserve">6.1 No-report binocular rivalry</w:t>
      </w:r>
    </w:p>
    <w:p>
      <w:pPr>
        <w:pStyle w:val="FirstParagraph"/>
      </w:pPr>
      <w:r>
        <w:t xml:space="preserve">In binocular rivalry, perceptual content changes while physical input can remain stable. Eye movements or other involuntary markers can help index the dominant content without requiring a trial-by-trial button press. Frassle et al. (2014) found frontal activity associated more strongly with introspection and action than with the perceptual alternation itself, while later work has also found content-related prefrontal activity in no-report macaque paradigms (Kapoor et al., 2022). The correct conclusion is not that frontal cortex is always irrelevant or always constitutive. It is that report and perception must be causally separated.</w:t>
      </w:r>
    </w:p>
    <w:p>
      <w:pPr>
        <w:pStyle w:val="BodyText"/>
      </w:pPr>
      <w:r>
        <w:t xml:space="preserve">The proposed test localizes content-bearing states using rivalry and physical-alternation controls, then perturbs those states and measures timely, selective effects across independently defined recipient classes. A posterior-dominant result can pass if it reaches diverse nonreport recipients. Eye movement is evidence for content timing, not a required recipient.</w:t>
      </w:r>
    </w:p>
    <w:bookmarkEnd w:id="56"/>
    <w:bookmarkStart w:id="57" w:name="X23960e4d3079ddebbfd5eda709986759273e57a"/>
    <w:p>
      <w:pPr>
        <w:pStyle w:val="Heading3"/>
      </w:pPr>
      <w:r>
        <w:t xml:space="preserve">6.2 Locked-in and cognitive motor dissociation</w:t>
      </w:r>
    </w:p>
    <w:p>
      <w:pPr>
        <w:pStyle w:val="FirstParagraph"/>
      </w:pPr>
      <w:r>
        <w:t xml:space="preserve">Motor output failure should not force</w:t>
      </w:r>
      <w:r>
        <w:t xml:space="preserve"> </w:t>
      </w:r>
      <m:oMath>
        <m:sSub>
          <m:e>
            <m:r>
              <m:t>N</m:t>
            </m:r>
          </m:e>
          <m:sub>
            <m:r>
              <m:t>2</m:t>
            </m:r>
          </m:sub>
        </m:sSub>
      </m:oMath>
      <w:r>
        <w:t xml:space="preserve"> </w:t>
      </w:r>
      <w:r>
        <w:t xml:space="preserve">negative. Report classes are excluded from the required set. Auditory, semantic, orienting, autonomic, and other recipient classes can be tested with perturbational, electrophysiological, or model-based interventions. A positive result supports availability despite absent overt behavior. A failed command-following task is negative only for that task pathway unless the wider causal test is valid and negative.</w:t>
      </w:r>
    </w:p>
    <w:bookmarkEnd w:id="57"/>
    <w:bookmarkStart w:id="58" w:name="dreaming-and-disconnected-output"/>
    <w:p>
      <w:pPr>
        <w:pStyle w:val="Heading3"/>
      </w:pPr>
      <w:r>
        <w:t xml:space="preserve">6.3 Dreaming and disconnected output</w:t>
      </w:r>
    </w:p>
    <w:p>
      <w:pPr>
        <w:pStyle w:val="FirstParagraph"/>
      </w:pPr>
      <w:r>
        <w:t xml:space="preserve">Dream experience can occur with greatly reduced interaction and no concurrent report. Retrospective reports are useful but memory-dependent. The availability criterion asks whether dream contents modulate diverse internal recipients during the episode. A system can satisfy this internal criterion while remaining externally disconnected. Globality is relative to the candidate system, not to the environment.</w:t>
      </w:r>
    </w:p>
    <w:bookmarkEnd w:id="58"/>
    <w:bookmarkStart w:id="59" w:name="infants-and-nonhuman-animals"/>
    <w:p>
      <w:pPr>
        <w:pStyle w:val="Heading3"/>
      </w:pPr>
      <w:r>
        <w:t xml:space="preserve">6.4 Infants and nonhuman animals</w:t>
      </w:r>
    </w:p>
    <w:p>
      <w:pPr>
        <w:pStyle w:val="FirstParagraph"/>
      </w:pPr>
      <w:r>
        <w:t xml:space="preserve">Recipient classes should be built from species- and stage-appropriate causal repertoires. A human executive taxonomy cannot be imposed as the standard. Orienting, multisensory, valuation-like, homeostatic, and action-selection systems may provide distinct recipient classes, but their labels do not substitute for causal individuation. Training demands must remain low enough not to convert absence of learned access into absence of availability.</w:t>
      </w:r>
    </w:p>
    <w:bookmarkEnd w:id="59"/>
    <w:bookmarkStart w:id="60" w:name="posterior-dominant-visual-availability"/>
    <w:p>
      <w:pPr>
        <w:pStyle w:val="Heading3"/>
      </w:pPr>
      <w:r>
        <w:t xml:space="preserve">6.5 Posterior-dominant visual availability</w:t>
      </w:r>
    </w:p>
    <w:p>
      <w:pPr>
        <w:pStyle w:val="FirstParagraph"/>
      </w:pPr>
      <w:r>
        <w:t xml:space="preserve">A visual content may causally modulate multiple posterior sensory, spatial, object, and visuomotor recipient classes within short latency while prefrontal report systems remain inactive. Such a pattern can satisfy the criterion if the classes are genuinely distinct and route controls pass. Merely decoding the same visual feature at many posterior sites is insufficient because it can reflect redundant representation rather than diverse availability.</w:t>
      </w:r>
    </w:p>
    <w:bookmarkEnd w:id="60"/>
    <w:bookmarkStart w:id="61" w:name="X96d838f22b0419d68932f6dd5160363af23f683"/>
    <w:p>
      <w:pPr>
        <w:pStyle w:val="Heading3"/>
      </w:pPr>
      <w:r>
        <w:t xml:space="preserve">6.6 Thalamocortical and subcortical organization</w:t>
      </w:r>
    </w:p>
    <w:p>
      <w:pPr>
        <w:pStyle w:val="FirstParagraph"/>
      </w:pPr>
      <w:r>
        <w:t xml:space="preserve">Central thalamic stimulation can modulate arousal and cortical dynamics, and human stimulation-recording studies reveal structured thalamocortical causal connections (Lyu et al., 2025; Redinbaugh et al., 2020). These findings motivate subcortical candidates but do not by themselves establish content availability. Arousal is a regime condition.</w:t>
      </w:r>
      <w:r>
        <w:t xml:space="preserve"> </w:t>
      </w:r>
      <m:oMath>
        <m:sSub>
          <m:e>
            <m:r>
              <m:t>N</m:t>
            </m:r>
          </m:e>
          <m:sub>
            <m:r>
              <m:t>2</m:t>
            </m:r>
          </m:sub>
        </m:sSub>
      </m:oMath>
      <w:r>
        <w:t xml:space="preserve"> </w:t>
      </w:r>
      <w:r>
        <w:t xml:space="preserve">additionally requires content-specific effects from the content-bearing state to diverse recipients through thalamocortical or other routes.</w:t>
      </w:r>
    </w:p>
    <w:bookmarkEnd w:id="61"/>
    <w:bookmarkStart w:id="62" w:name="split-brains"/>
    <w:p>
      <w:pPr>
        <w:pStyle w:val="Heading3"/>
      </w:pPr>
      <w:r>
        <w:t xml:space="preserve">6.7 Split brains</w:t>
      </w:r>
    </w:p>
    <w:p>
      <w:pPr>
        <w:pStyle w:val="FirstParagraph"/>
      </w:pPr>
      <w:r>
        <w:t xml:space="preserve">After callosal disconnection, a content may be available across diverse classes within one hemisphere but not the other. The correct result can therefore be hemisphere-indexed. A union-level measure based on node count may remain large even when cross-hemispheric causal availability collapses. This case shows why boundary selection and availability measurement must be separate.</w:t>
      </w:r>
    </w:p>
    <w:bookmarkEnd w:id="62"/>
    <w:bookmarkStart w:id="63" w:name="artificial-and-distributed-systems"/>
    <w:p>
      <w:pPr>
        <w:pStyle w:val="Heading3"/>
      </w:pPr>
      <w:r>
        <w:t xml:space="preserve">6.8 Artificial and distributed systems</w:t>
      </w:r>
    </w:p>
    <w:p>
      <w:pPr>
        <w:pStyle w:val="FirstParagraph"/>
      </w:pPr>
      <w:r>
        <w:t xml:space="preserve">A shared memory, message bus, or attention cache does not establish broadcast. The workflow must intervene on a content token or latent state and show selective, timely modulation of modules with independently different causal repertoires. Logging services, mirrored replicas, and idle subscribers do not increase functional diversity. A language output module is optional evidence, not a required recipient. If the criterion passes only because one central executive calls every tool, the executive-ablation gate fails.</w:t>
      </w:r>
    </w:p>
    <w:bookmarkEnd w:id="63"/>
    <w:bookmarkEnd w:id="64"/>
    <w:bookmarkStart w:id="70" w:name="relation-to-existing-approaches"/>
    <w:p>
      <w:pPr>
        <w:pStyle w:val="Heading2"/>
      </w:pPr>
      <w:r>
        <w:t xml:space="preserve">7. Relation to Existing Approaches</w:t>
      </w:r>
    </w:p>
    <w:bookmarkStart w:id="65" w:name="X4a4b7df255b6ea0a6e3b07e5d25186841b248e5"/>
    <w:p>
      <w:pPr>
        <w:pStyle w:val="Heading3"/>
      </w:pPr>
      <w:r>
        <w:t xml:space="preserve">7.1 Global workspace and global neuronal workspace theories</w:t>
      </w:r>
    </w:p>
    <w:p>
      <w:pPr>
        <w:pStyle w:val="FirstParagraph"/>
      </w:pPr>
      <w:r>
        <w:t xml:space="preserve">Workspace theories emphasize broad availability to specialized processors (Baars, 1988; Dehaene &amp; Changeux, 2011; Mashour et al., 2020). The present account inherits the pressure toward cross-system availability but does not identify</w:t>
      </w:r>
      <w:r>
        <w:t xml:space="preserve"> </w:t>
      </w:r>
      <m:oMath>
        <m:sSub>
          <m:e>
            <m:r>
              <m:t>N</m:t>
            </m:r>
          </m:e>
          <m:sub>
            <m:r>
              <m:t>2</m:t>
            </m:r>
          </m:sub>
        </m:sSub>
      </m:oMath>
      <w:r>
        <w:t xml:space="preserve"> </w:t>
      </w:r>
      <w:r>
        <w:t xml:space="preserve">with a specific workspace architecture, late ignition signature, prefrontal location, or reportability. It can be implemented by a workspace, but a workspace label does not automatically satisfy it.</w:t>
      </w:r>
    </w:p>
    <w:p>
      <w:pPr>
        <w:pStyle w:val="BodyText"/>
      </w:pPr>
      <w:r>
        <w:t xml:space="preserve">Recent multiscale syntheses likewise emphasize that consciousness theories must connect mechanisms across cellular, circuit, and systems levels (Storm et al., 2024). The present criterion contributes a cross-level test: any proposed implementation must connect a content-bearing source to class-native causal responses without substituting anatomical scale for functional reach.</w:t>
      </w:r>
    </w:p>
    <w:p>
      <w:pPr>
        <w:pStyle w:val="BodyText"/>
      </w:pPr>
      <w:r>
        <w:t xml:space="preserve">This difference matters empirically. The 2025 adversarial collaboration found content information and sustained activity distributed across visual, temporal, and inferior frontal regions, with results that did not cleanly vindicate all preregistered predictions of either GNWT or IIT (Cogitate Consortium et al., 2025). A criterion stated in causal and functional terms can survive localization revisions while remaining falsifiable.</w:t>
      </w:r>
    </w:p>
    <w:bookmarkEnd w:id="65"/>
    <w:bookmarkStart w:id="66" w:name="access-consciousness"/>
    <w:p>
      <w:pPr>
        <w:pStyle w:val="Heading3"/>
      </w:pPr>
      <w:r>
        <w:t xml:space="preserve">7.2 Access consciousness</w:t>
      </w:r>
    </w:p>
    <w:p>
      <w:pPr>
        <w:pStyle w:val="FirstParagraph"/>
      </w:pPr>
      <w:r>
        <w:t xml:space="preserve">Block’s distinction between phenomenal and access consciousness motivates the concern that availability might smuggle access into phenomenal presence (Block, 1995). The present solution is not to remove availability but to weaken its consumer requirements. Recipient modulation can be internal and task-independent. No memory, decision, control, or report class is individually necessary. If empirical work shows that all credible availability effects require those systems, the separation fails and</w:t>
      </w:r>
      <w:r>
        <w:t xml:space="preserve"> </w:t>
      </w:r>
      <m:oMath>
        <m:sSub>
          <m:e>
            <m:r>
              <m:t>N</m:t>
            </m:r>
          </m:e>
          <m:sub>
            <m:r>
              <m:t>2</m:t>
            </m:r>
          </m:sub>
        </m:sSub>
      </m:oMath>
      <w:r>
        <w:t xml:space="preserve"> </w:t>
      </w:r>
      <w:r>
        <w:t xml:space="preserve">should be revised rather than protected verbally.</w:t>
      </w:r>
    </w:p>
    <w:bookmarkEnd w:id="66"/>
    <w:bookmarkStart w:id="67" w:name="no-report-paradigms"/>
    <w:p>
      <w:pPr>
        <w:pStyle w:val="Heading3"/>
      </w:pPr>
      <w:r>
        <w:t xml:space="preserve">7.3 No-report paradigms</w:t>
      </w:r>
    </w:p>
    <w:p>
      <w:pPr>
        <w:pStyle w:val="FirstParagraph"/>
      </w:pPr>
      <w:r>
        <w:t xml:space="preserve">No-report designs reduce some confounds but do not provide direct access to consciousness. Involuntary indicators can themselves have false positives, and contrasts can change attention or expectation. Report contrasts have also shifted the interpretation of late signals such as P3 and gamma activity toward post-perceptual processing in some paradigms (Pitts et al., 2014). The proposed framework treats no-report markers as content-indexing evidence and adds causal perturbation. It therefore neither treats reports as constitutive nor treats their absence as methodological purity.</w:t>
      </w:r>
    </w:p>
    <w:p>
      <w:pPr>
        <w:pStyle w:val="BodyText"/>
      </w:pPr>
      <w:r>
        <w:t xml:space="preserve">Perturbational state measures such as the perturbational complexity index demonstrate that behavior-independent causal assays are feasible (Casali et al., 2013). They remain state-level measures, however;</w:t>
      </w:r>
      <w:r>
        <w:t xml:space="preserve"> </w:t>
      </w:r>
      <m:oMath>
        <m:sSub>
          <m:e>
            <m:r>
              <m:t>N</m:t>
            </m:r>
          </m:e>
          <m:sub>
            <m:r>
              <m:t>2</m:t>
            </m:r>
          </m:sub>
        </m:sSub>
      </m:oMath>
      <w:r>
        <w:t xml:space="preserve"> </w:t>
      </w:r>
      <w:r>
        <w:t xml:space="preserve">additionally requires a controlled content contrast and recipient-resolved causal reach.</w:t>
      </w:r>
    </w:p>
    <w:bookmarkEnd w:id="67"/>
    <w:bookmarkStart w:id="68" w:name="X9edb846e51c5da2e444a3d2f66daf202ee29f2c"/>
    <w:p>
      <w:pPr>
        <w:pStyle w:val="Heading3"/>
      </w:pPr>
      <w:r>
        <w:t xml:space="preserve">7.4 Network communication and controllability</w:t>
      </w:r>
    </w:p>
    <w:p>
      <w:pPr>
        <w:pStyle w:val="FirstParagraph"/>
      </w:pPr>
      <w:r>
        <w:t xml:space="preserve">Participation coefficients, rich-club structure, communicability, and controllability can identify potential routes through a network (Cai et al., 2021; Guimera &amp; Amaral, 2005; Gu et al., 2015). They are useful proposal generators, not final availability measures. Structural controllability can be mathematically high while required energy is prohibitive; graph reach can be broad while dynamics suppress content-specific effects. Empirical or validated-model interventions must connect topology to recipient modulation.</w:t>
      </w:r>
    </w:p>
    <w:bookmarkEnd w:id="68"/>
    <w:bookmarkStart w:id="69" w:name="Xb2c85d318c905f0719bb205bf1294685046f7c9"/>
    <w:p>
      <w:pPr>
        <w:pStyle w:val="Heading3"/>
      </w:pPr>
      <w:r>
        <w:t xml:space="preserve">7.5 Effective connectivity and perturbational inference</w:t>
      </w:r>
    </w:p>
    <w:p>
      <w:pPr>
        <w:pStyle w:val="FirstParagraph"/>
      </w:pPr>
      <w:r>
        <w:t xml:space="preserve">Intracranial stimulation shows that network organization predicts propagated effects, and recent virtual-perturbation methods estimate directed whole-brain effective connectivity from generative models (Luo et al., 2025; Solomon et al., 2018). These methods fit the counterfactual emphasis but require careful validation. A surrogate model can hallucinate routes, stimulation can inject nonspecific energy, and effective connectivity for resting dynamics need not establish content availability.</w:t>
      </w:r>
    </w:p>
    <w:bookmarkEnd w:id="69"/>
    <w:bookmarkEnd w:id="70"/>
    <w:bookmarkStart w:id="76" w:name="empirical-program-and-falsification"/>
    <w:p>
      <w:pPr>
        <w:pStyle w:val="Heading2"/>
      </w:pPr>
      <w:r>
        <w:t xml:space="preserve">8. Empirical Program and Falsification</w:t>
      </w:r>
    </w:p>
    <w:bookmarkStart w:id="71" w:name="benchmark-contrasts"/>
    <w:p>
      <w:pPr>
        <w:pStyle w:val="Heading3"/>
      </w:pPr>
      <w:r>
        <w:t xml:space="preserve">8.1 Benchmark contrasts</w:t>
      </w:r>
    </w:p>
    <w:p>
      <w:pPr>
        <w:pStyle w:val="FirstParagraph"/>
      </w:pPr>
      <w:r>
        <w:t xml:space="preserve">The criterion should be calibrated against contrasts designed to separate its components:</w:t>
      </w:r>
    </w:p>
    <w:p>
      <w:pPr>
        <w:pStyle w:val="Compact"/>
        <w:numPr>
          <w:ilvl w:val="0"/>
          <w:numId w:val="1002"/>
        </w:numPr>
      </w:pPr>
      <w:r>
        <w:t xml:space="preserve">conscious report versus matched no-report perception;</w:t>
      </w:r>
    </w:p>
    <w:p>
      <w:pPr>
        <w:pStyle w:val="Compact"/>
        <w:numPr>
          <w:ilvl w:val="0"/>
          <w:numId w:val="1002"/>
        </w:numPr>
      </w:pPr>
      <w:r>
        <w:t xml:space="preserve">conscious versus unconscious content with matched stimulation energy;</w:t>
      </w:r>
    </w:p>
    <w:p>
      <w:pPr>
        <w:pStyle w:val="Compact"/>
        <w:numPr>
          <w:ilvl w:val="0"/>
          <w:numId w:val="1002"/>
        </w:numPr>
      </w:pPr>
      <w:r>
        <w:t xml:space="preserve">passive sensory propagation versus content-specific recipient modulation;</w:t>
      </w:r>
    </w:p>
    <w:p>
      <w:pPr>
        <w:pStyle w:val="Compact"/>
        <w:numPr>
          <w:ilvl w:val="0"/>
          <w:numId w:val="1002"/>
        </w:numPr>
      </w:pPr>
      <w:r>
        <w:t xml:space="preserve">widespread seizure or arousal activity versus differentiated broadcast;</w:t>
      </w:r>
    </w:p>
    <w:p>
      <w:pPr>
        <w:pStyle w:val="Compact"/>
        <w:numPr>
          <w:ilvl w:val="0"/>
          <w:numId w:val="1002"/>
        </w:numPr>
      </w:pPr>
      <w:r>
        <w:t xml:space="preserve">posterior-only, frontoparietal, and thalamocortical route models;</w:t>
      </w:r>
    </w:p>
    <w:p>
      <w:pPr>
        <w:pStyle w:val="Compact"/>
        <w:numPr>
          <w:ilvl w:val="0"/>
          <w:numId w:val="1002"/>
        </w:numPr>
      </w:pPr>
      <w:r>
        <w:t xml:space="preserve">intact report versus motor-output interruption;</w:t>
      </w:r>
    </w:p>
    <w:p>
      <w:pPr>
        <w:pStyle w:val="Compact"/>
        <w:numPr>
          <w:ilvl w:val="0"/>
          <w:numId w:val="1002"/>
        </w:numPr>
      </w:pPr>
      <w:r>
        <w:t xml:space="preserve">one homogeneous fan-out network versus fewer functionally diverse recipients;</w:t>
      </w:r>
    </w:p>
    <w:p>
      <w:pPr>
        <w:pStyle w:val="Compact"/>
        <w:numPr>
          <w:ilvl w:val="0"/>
          <w:numId w:val="1002"/>
        </w:numPr>
      </w:pPr>
      <w:r>
        <w:t xml:space="preserve">software message duplication versus module-specific state transition.</w:t>
      </w:r>
    </w:p>
    <w:bookmarkEnd w:id="71"/>
    <w:bookmarkStart w:id="72" w:name="discriminating-predictions"/>
    <w:p>
      <w:pPr>
        <w:pStyle w:val="Heading3"/>
      </w:pPr>
      <w:r>
        <w:t xml:space="preserve">8.2 Discriminating predictions</w:t>
      </w:r>
    </w:p>
    <w:p>
      <w:pPr>
        <w:pStyle w:val="Compact"/>
        <w:numPr>
          <w:ilvl w:val="0"/>
          <w:numId w:val="1003"/>
        </w:numPr>
      </w:pPr>
      <w:r>
        <w:t xml:space="preserve">Removing report demands will reduce some frontal and motor signals without necessarily reducing nonreport coverage</w:t>
      </w:r>
      <w:r>
        <w:t xml:space="preserve"> </w:t>
      </w:r>
      <m:oMath>
        <m:sSub>
          <m:e>
            <m:r>
              <m:t>C</m:t>
            </m:r>
          </m:e>
          <m:sub>
            <m:r>
              <m:t>A</m:t>
            </m:r>
          </m:sub>
        </m:sSub>
      </m:oMath>
      <w:r>
        <w:t xml:space="preserve">.</w:t>
      </w:r>
    </w:p>
    <w:p>
      <w:pPr>
        <w:pStyle w:val="Compact"/>
        <w:numPr>
          <w:ilvl w:val="0"/>
          <w:numId w:val="1003"/>
        </w:numPr>
      </w:pPr>
      <w:r>
        <w:t xml:space="preserve">Raw anatomical reach will predict</w:t>
      </w:r>
      <w:r>
        <w:t xml:space="preserve"> </w:t>
      </w:r>
      <m:oMath>
        <m:sSub>
          <m:e>
            <m:r>
              <m:t>N</m:t>
            </m:r>
          </m:e>
          <m:sub>
            <m:r>
              <m:t>2</m:t>
            </m:r>
          </m:sub>
        </m:sSub>
      </m:oMath>
      <w:r>
        <w:t xml:space="preserve"> </w:t>
      </w:r>
      <w:r>
        <w:t xml:space="preserve">less well than diversity-weighted causal coverage.</w:t>
      </w:r>
    </w:p>
    <w:p>
      <w:pPr>
        <w:pStyle w:val="Compact"/>
        <w:numPr>
          <w:ilvl w:val="0"/>
          <w:numId w:val="1003"/>
        </w:numPr>
      </w:pPr>
      <w:r>
        <w:t xml:space="preserve">Passive spread controls will show broad activation but low content selectivity or route specificity.</w:t>
      </w:r>
    </w:p>
    <w:p>
      <w:pPr>
        <w:pStyle w:val="Compact"/>
        <w:numPr>
          <w:ilvl w:val="0"/>
          <w:numId w:val="1003"/>
        </w:numPr>
      </w:pPr>
      <w:r>
        <w:t xml:space="preserve">Some posterior or thalamocortical architectures will pass without prefrontal recipients, while others will fail because their effects are homogeneous or arousal-only.</w:t>
      </w:r>
    </w:p>
    <w:p>
      <w:pPr>
        <w:pStyle w:val="Compact"/>
        <w:numPr>
          <w:ilvl w:val="0"/>
          <w:numId w:val="1003"/>
        </w:numPr>
      </w:pPr>
      <w:r>
        <w:t xml:space="preserve">Systems with many redundant nodes will not gain availability merely through finer parcellation.</w:t>
      </w:r>
    </w:p>
    <w:p>
      <w:pPr>
        <w:pStyle w:val="Compact"/>
        <w:numPr>
          <w:ilvl w:val="0"/>
          <w:numId w:val="1003"/>
        </w:numPr>
      </w:pPr>
      <w:r>
        <w:t xml:space="preserve">Artificial architectures with a message bus but no content-sensitive subscribers will fail despite total fan-out.</w:t>
      </w:r>
    </w:p>
    <w:p>
      <w:pPr>
        <w:pStyle w:val="Compact"/>
        <w:numPr>
          <w:ilvl w:val="0"/>
          <w:numId w:val="1003"/>
        </w:numPr>
      </w:pPr>
      <w:r>
        <w:t xml:space="preserve">Availability estimates that rely on one rare readiness context will fail the context-robustness gate even when their maximum effect is large.</w:t>
      </w:r>
    </w:p>
    <w:bookmarkEnd w:id="72"/>
    <w:bookmarkStart w:id="73" w:name="what-would-count-against-the-criterion"/>
    <w:p>
      <w:pPr>
        <w:pStyle w:val="Heading3"/>
      </w:pPr>
      <w:r>
        <w:t xml:space="preserve">8.3 What would count against the criterion</w:t>
      </w:r>
    </w:p>
    <w:p>
      <w:pPr>
        <w:pStyle w:val="FirstParagraph"/>
      </w:pPr>
      <w:r>
        <w:t xml:space="preserve">The proposal would be weakened if any of the following patterns proved robust:</w:t>
      </w:r>
    </w:p>
    <w:p>
      <w:pPr>
        <w:pStyle w:val="Compact"/>
        <w:numPr>
          <w:ilvl w:val="0"/>
          <w:numId w:val="1004"/>
        </w:numPr>
      </w:pPr>
      <w:r>
        <w:t xml:space="preserve">well-supported conscious contents repeatedly lacked all timely causal effects outside a local class;</w:t>
      </w:r>
    </w:p>
    <w:p>
      <w:pPr>
        <w:pStyle w:val="Compact"/>
        <w:numPr>
          <w:ilvl w:val="0"/>
          <w:numId w:val="1004"/>
        </w:numPr>
      </w:pPr>
      <w:r>
        <w:t xml:space="preserve">unconscious feedforward, seizure, or diffusion cases regularly passed selectivity, routing, diversity, and ablation controls;</w:t>
      </w:r>
    </w:p>
    <w:p>
      <w:pPr>
        <w:pStyle w:val="Compact"/>
        <w:numPr>
          <w:ilvl w:val="0"/>
          <w:numId w:val="1004"/>
        </w:numPr>
      </w:pPr>
      <w:r>
        <w:t xml:space="preserve">results changed arbitrarily with small reasonable changes in recipient taxonomy;</w:t>
      </w:r>
    </w:p>
    <w:p>
      <w:pPr>
        <w:pStyle w:val="Compact"/>
        <w:numPr>
          <w:ilvl w:val="0"/>
          <w:numId w:val="1004"/>
        </w:numPr>
      </w:pPr>
      <w:r>
        <w:t xml:space="preserve">report or executive classes were always necessary for a positive result despite preserved no-report consciousness evidence;</w:t>
      </w:r>
    </w:p>
    <w:p>
      <w:pPr>
        <w:pStyle w:val="Compact"/>
        <w:numPr>
          <w:ilvl w:val="0"/>
          <w:numId w:val="1004"/>
        </w:numPr>
      </w:pPr>
      <w:r>
        <w:t xml:space="preserve">admissible interventions could not be distinguished from interventions that create a new state or content;</w:t>
      </w:r>
    </w:p>
    <w:p>
      <w:pPr>
        <w:pStyle w:val="Compact"/>
        <w:numPr>
          <w:ilvl w:val="0"/>
          <w:numId w:val="1004"/>
        </w:numPr>
      </w:pPr>
      <w:r>
        <w:t xml:space="preserve">positive results depended systematically on low-prevalence, high-burden, or outcome-selected contexts;</w:t>
      </w:r>
    </w:p>
    <w:p>
      <w:pPr>
        <w:pStyle w:val="Compact"/>
        <w:numPr>
          <w:ilvl w:val="0"/>
          <w:numId w:val="1004"/>
        </w:numPr>
      </w:pPr>
      <w:r>
        <w:t xml:space="preserve">functional repertoire distance failed to predict any meaningful recipient difference.</w:t>
      </w:r>
    </w:p>
    <w:bookmarkEnd w:id="73"/>
    <w:bookmarkStart w:id="74" w:name="reliability-and-sensitivity"/>
    <w:p>
      <w:pPr>
        <w:pStyle w:val="Heading3"/>
      </w:pPr>
      <w:r>
        <w:t xml:space="preserve">8.4 Reliability and sensitivity</w:t>
      </w:r>
    </w:p>
    <w:p>
      <w:pPr>
        <w:pStyle w:val="FirstParagraph"/>
      </w:pPr>
      <w:r>
        <w:t xml:space="preserve">Let</w:t>
      </w:r>
      <w:r>
        <w:t xml:space="preserve"> </w:t>
      </w:r>
      <m:oMath>
        <m:r>
          <m:rPr>
            <m:scr m:val="script"/>
            <m:sty m:val="p"/>
          </m:rPr>
          <m:t>N</m:t>
        </m:r>
        <m:r>
          <m:rPr>
            <m:sty m:val="p"/>
          </m:rPr>
          <m:t>(</m:t>
        </m:r>
        <m:sSub>
          <m:e>
            <m:r>
              <m:rPr>
                <m:sty m:val="p"/>
              </m:rPr>
              <m:t>Θ</m:t>
            </m:r>
          </m:e>
          <m:sub>
            <m:r>
              <m:t>A</m:t>
            </m:r>
          </m:sub>
        </m:sSub>
        <m:r>
          <m:rPr>
            <m:sty m:val="p"/>
          </m:rPr>
          <m:t>)</m:t>
        </m:r>
      </m:oMath>
      <w:r>
        <w:t xml:space="preserve"> </w:t>
      </w:r>
      <w:r>
        <w:t xml:space="preserve">be a preregistered neighborhood of reasonable specifications. Define availability stability</w:t>
      </w:r>
    </w:p>
    <w:p>
      <w:pPr>
        <w:pStyle w:val="BodyText"/>
      </w:pPr>
      <m:oMathPara>
        <m:oMathParaPr>
          <m:jc m:val="center"/>
        </m:oMathParaPr>
        <m:oMath>
          <m:sSub>
            <m:e>
              <m:r>
                <m:t>R</m:t>
              </m:r>
            </m:e>
            <m:sub>
              <m:r>
                <m:t>A</m:t>
              </m:r>
            </m:sub>
          </m:sSub>
          <m:r>
            <m:rPr>
              <m:sty m:val="p"/>
            </m:rPr>
            <m:t>(</m:t>
          </m:r>
          <m:r>
            <m:t>c</m:t>
          </m:r>
          <m:r>
            <m:rPr>
              <m:sty m:val="p"/>
            </m:rPr>
            <m:t>)</m:t>
          </m:r>
          <m:r>
            <m:rPr>
              <m:sty m:val="p"/>
            </m:rPr>
            <m:t>=</m:t>
          </m:r>
          <m:nary>
            <m:naryPr>
              <m:chr m:val="∑"/>
              <m:limLoc m:val="undOvr"/>
              <m:subHide m:val="off"/>
              <m:supHide m:val="on"/>
            </m:naryPr>
            <m:sub>
              <m:sSup>
                <m:e>
                  <m:r>
                    <m:rPr>
                      <m:sty m:val="p"/>
                    </m:rPr>
                    <m:t>Θ</m:t>
                  </m:r>
                </m:e>
                <m:sup>
                  <m:r>
                    <m:rPr>
                      <m:sty m:val="p"/>
                    </m:rPr>
                    <m:t>′</m:t>
                  </m:r>
                </m:sup>
              </m:sSup>
              <m:r>
                <m:rPr>
                  <m:sty m:val="p"/>
                </m:rPr>
                <m:t>∈</m:t>
              </m:r>
              <m:r>
                <m:rPr>
                  <m:scr m:val="script"/>
                  <m:sty m:val="p"/>
                </m:rPr>
                <m:t>N</m:t>
              </m:r>
              <m:r>
                <m:rPr>
                  <m:sty m:val="p"/>
                </m:rPr>
                <m:t>(</m:t>
              </m:r>
              <m:sSub>
                <m:e>
                  <m:r>
                    <m:rPr>
                      <m:sty m:val="p"/>
                    </m:rPr>
                    <m:t>Θ</m:t>
                  </m:r>
                </m:e>
                <m:sub>
                  <m:r>
                    <m:t>A</m:t>
                  </m:r>
                </m:sub>
              </m:sSub>
              <m:r>
                <m:rPr>
                  <m:sty m:val="p"/>
                </m:rPr>
                <m:t>)</m:t>
              </m:r>
            </m:sub>
            <m:sup>
              <m:r>
                <m:t>​</m:t>
              </m:r>
            </m:sup>
            <m:e>
              <m:r>
                <m:t>w</m:t>
              </m:r>
            </m:e>
          </m:nary>
          <m:r>
            <m:rPr>
              <m:sty m:val="p"/>
            </m:rPr>
            <m:t>(</m:t>
          </m:r>
          <m:sSup>
            <m:e>
              <m:r>
                <m:rPr>
                  <m:sty m:val="p"/>
                </m:rPr>
                <m:t>Θ</m:t>
              </m:r>
            </m:e>
            <m:sup>
              <m:r>
                <m:rPr>
                  <m:sty m:val="p"/>
                </m:rPr>
                <m:t>′</m:t>
              </m:r>
            </m:sup>
          </m:sSup>
          <m:r>
            <m:rPr>
              <m:sty m:val="p"/>
            </m:rPr>
            <m:t>)</m:t>
          </m:r>
          <m:r>
            <m:rPr>
              <m:sty m:val="b"/>
            </m:rPr>
            <m:t>1</m:t>
          </m:r>
          <m:r>
            <m:rPr>
              <m:sty m:val="p"/>
            </m:rPr>
            <m:t>[</m:t>
          </m:r>
          <m:sSub>
            <m:e>
              <m:r>
                <m:t>N</m:t>
              </m:r>
            </m:e>
            <m:sub>
              <m:r>
                <m:t>2</m:t>
              </m:r>
            </m:sub>
          </m:sSub>
          <m:r>
            <m:rPr>
              <m:sty m:val="p"/>
            </m:rPr>
            <m:t>(</m:t>
          </m:r>
          <m:r>
            <m:t>c</m:t>
          </m:r>
          <m:r>
            <m:rPr>
              <m:sty m:val="p"/>
            </m:rPr>
            <m:t>;</m:t>
          </m:r>
          <m:sSup>
            <m:e>
              <m:r>
                <m:rPr>
                  <m:sty m:val="p"/>
                </m:rPr>
                <m:t>Θ</m:t>
              </m:r>
            </m:e>
            <m:sup>
              <m:r>
                <m:rPr>
                  <m:sty m:val="p"/>
                </m:rPr>
                <m:t>′</m:t>
              </m:r>
            </m:sup>
          </m:sSup>
          <m:r>
            <m:rPr>
              <m:sty m:val="p"/>
            </m:rPr>
            <m:t>)</m:t>
          </m:r>
          <m:r>
            <m:rPr>
              <m:sty m:val="p"/>
            </m:rPr>
            <m:t>=</m:t>
          </m:r>
          <m:sSub>
            <m:e>
              <m:r>
                <m:t>N</m:t>
              </m:r>
            </m:e>
            <m:sub>
              <m:r>
                <m:t>2</m:t>
              </m:r>
            </m:sub>
          </m:sSub>
          <m:r>
            <m:rPr>
              <m:sty m:val="p"/>
            </m:rPr>
            <m:t>(</m:t>
          </m:r>
          <m:r>
            <m:t>c</m:t>
          </m:r>
          <m:r>
            <m:rPr>
              <m:sty m:val="p"/>
            </m:rPr>
            <m:t>;</m:t>
          </m:r>
          <m:sSub>
            <m:e>
              <m:r>
                <m:rPr>
                  <m:sty m:val="p"/>
                </m:rPr>
                <m:t>Θ</m:t>
              </m:r>
            </m:e>
            <m:sub>
              <m:r>
                <m:t>A</m:t>
              </m:r>
            </m:sub>
          </m:sSub>
          <m:r>
            <m:rPr>
              <m:sty m:val="p"/>
            </m:rPr>
            <m:t>)</m:t>
          </m:r>
          <m:r>
            <m:rPr>
              <m:sty m:val="p"/>
            </m:rPr>
            <m:t>]</m:t>
          </m:r>
          <m:r>
            <m:rPr>
              <m:sty m:val="p"/>
            </m:rPr>
            <m:t>.</m:t>
          </m:r>
        </m:oMath>
      </m:oMathPara>
    </w:p>
    <w:p>
      <w:pPr>
        <w:pStyle w:val="FirstParagraph"/>
      </w:pPr>
      <w:r>
        <w:rPr>
          <w:b/>
          <w:bCs/>
        </w:rPr>
        <w:t xml:space="preserve">Annotation.</w:t>
      </w:r>
      <w:r>
        <w:t xml:space="preserve"> </w:t>
      </w:r>
      <w:r>
        <w:t xml:space="preserve">The neighborhood varies grain, recipient clustering, effect estimator, latency bound, and plausible intervention designs. The weights are fixed before outcome inspection. Positive or negative results with low</w:t>
      </w:r>
      <w:r>
        <w:t xml:space="preserve"> </w:t>
      </w:r>
      <m:oMath>
        <m:sSub>
          <m:e>
            <m:r>
              <m:t>R</m:t>
            </m:r>
          </m:e>
          <m:sub>
            <m:r>
              <m:t>A</m:t>
            </m:r>
          </m:sub>
        </m:sSub>
      </m:oMath>
      <w:r>
        <w:t xml:space="preserve"> </w:t>
      </w:r>
      <w:r>
        <w:t xml:space="preserve">are fragile; unresolved mappings across grains are reported as incommensurable rather than forced into agreement.</w:t>
      </w:r>
    </w:p>
    <w:bookmarkEnd w:id="74"/>
    <w:bookmarkStart w:id="75" w:name="scope-limitations"/>
    <w:p>
      <w:pPr>
        <w:pStyle w:val="Heading3"/>
      </w:pPr>
      <w:r>
        <w:t xml:space="preserve">8.5 Scope limitations</w:t>
      </w:r>
    </w:p>
    <w:p>
      <w:pPr>
        <w:pStyle w:val="FirstParagraph"/>
      </w:pPr>
      <w:r>
        <w:t xml:space="preserve">The framework is demanding. Direct intervention can be unethical or technically impossible; virtual perturbation depends on model validity; content localization can itself be theory-laden; and some recipient variables may be unobservable. The method can therefore return indeterminate or unlicensed often. That is preferable to treating observed spread as causal availability. The criterion also addresses whether a content is available, not why the content has a particular phenomenal character.</w:t>
      </w:r>
    </w:p>
    <w:bookmarkEnd w:id="75"/>
    <w:bookmarkEnd w:id="76"/>
    <w:bookmarkStart w:id="88" w:name="objections-and-replies"/>
    <w:p>
      <w:pPr>
        <w:pStyle w:val="Heading2"/>
      </w:pPr>
      <w:r>
        <w:t xml:space="preserve">9. Objections and Replies</w:t>
      </w:r>
    </w:p>
    <w:bookmarkStart w:id="77" w:name="Xe26eb8730aafb6c32c6e59ee69cd0f7da2e7f23"/>
    <w:p>
      <w:pPr>
        <w:pStyle w:val="Heading3"/>
      </w:pPr>
      <w:r>
        <w:t xml:space="preserve">Objection 1: Counterfactual availability is just access consciousness in disguise</w:t>
      </w:r>
    </w:p>
    <w:p>
      <w:pPr>
        <w:pStyle w:val="FirstParagraph"/>
      </w:pPr>
      <w:r>
        <w:t xml:space="preserve">Access consciousness usually emphasizes availability for reasoning, rational control, or report. The present recipients need only exhibit content-specific internal modulation. Memory, decision, control, and report are optional classes. If those capacities become mandatory in implementation, the objection succeeds against that implementation.</w:t>
      </w:r>
    </w:p>
    <w:bookmarkEnd w:id="77"/>
    <w:bookmarkStart w:id="78" w:name="X88db16a093f9d6de59d31ca17417a6f60b07720"/>
    <w:p>
      <w:pPr>
        <w:pStyle w:val="Heading3"/>
      </w:pPr>
      <w:r>
        <w:t xml:space="preserve">Objection 2: If a recipient never activates, calling the content available is unfalsifiable</w:t>
      </w:r>
    </w:p>
    <w:p>
      <w:pPr>
        <w:pStyle w:val="FirstParagraph"/>
      </w:pPr>
      <w:r>
        <w:t xml:space="preserve">The disposition is tested through intervention. An idle recipient qualifies only if a preregistered nearby context reveals a timely causal effect without adding new routing machinery. Mere logical possibility does not count.</w:t>
      </w:r>
    </w:p>
    <w:bookmarkEnd w:id="78"/>
    <w:bookmarkStart w:id="79" w:name="X8decafc8b74af10ad0feeb1a107d4a4fb3d44a2"/>
    <w:p>
      <w:pPr>
        <w:pStyle w:val="Heading3"/>
      </w:pPr>
      <w:r>
        <w:t xml:space="preserve">Objection 3: The intervention creates the broadcast</w:t>
      </w:r>
    </w:p>
    <w:p>
      <w:pPr>
        <w:pStyle w:val="FirstParagraph"/>
      </w:pPr>
      <w:r>
        <w:t xml:space="preserve">That risk is real. Matched-energy controls, small perturbations, regime-preservation tests, and preparation-cost bounds are included for this reason. If the intervention induces a qualitatively new global state, the result is unlicensed.</w:t>
      </w:r>
    </w:p>
    <w:bookmarkEnd w:id="79"/>
    <w:bookmarkStart w:id="80" w:name="Xff07c883cfb26ea0126f11c88b13c48cb7c6e74"/>
    <w:p>
      <w:pPr>
        <w:pStyle w:val="Heading3"/>
      </w:pPr>
      <w:r>
        <w:t xml:space="preserve">Objection 4: Functional diversity is subjective</w:t>
      </w:r>
    </w:p>
    <w:p>
      <w:pPr>
        <w:pStyle w:val="FirstParagraph"/>
      </w:pPr>
      <w:r>
        <w:t xml:space="preserve">Every parcellation involves modeling choices. The remedy is independent repertoire estimation, held-out clustering, reliability, and sensitivity across plausible taxonomies. Anatomical labels alone are insufficient.</w:t>
      </w:r>
    </w:p>
    <w:bookmarkEnd w:id="80"/>
    <w:bookmarkStart w:id="81" w:name="X5c7b10331552b70ba9c5e09c7dabaa324e4e395"/>
    <w:p>
      <w:pPr>
        <w:pStyle w:val="Heading3"/>
      </w:pPr>
      <w:r>
        <w:t xml:space="preserve">Objection 5: A local but richly differentiated circuit could count as global</w:t>
      </w:r>
    </w:p>
    <w:p>
      <w:pPr>
        <w:pStyle w:val="FirstParagraph"/>
      </w:pPr>
      <w:r>
        <w:t xml:space="preserve">Yes, relative to a correctly bounded system. Globality is organizational, not geographic. This implication should be rejected only by defending anatomical extent as independently necessary.</w:t>
      </w:r>
    </w:p>
    <w:bookmarkEnd w:id="81"/>
    <w:bookmarkStart w:id="82" w:name="X72edeb1bbe351e31ebfdb838174c66d6795736e"/>
    <w:p>
      <w:pPr>
        <w:pStyle w:val="Heading3"/>
      </w:pPr>
      <w:r>
        <w:t xml:space="preserve">Objection 6: Posterior broadcast simply turns the view into recurrent processing theory</w:t>
      </w:r>
    </w:p>
    <w:p>
      <w:pPr>
        <w:pStyle w:val="FirstParagraph"/>
      </w:pPr>
      <w:r>
        <w:t xml:space="preserve">No. Local recurrence can remain isolated and fail coverage or diversity. Posterior architectures qualify only when they causally reach distinct recipients.</w:t>
      </w:r>
      <w:r>
        <w:t xml:space="preserve"> </w:t>
      </w:r>
      <m:oMath>
        <m:sSub>
          <m:e>
            <m:r>
              <m:t>N</m:t>
            </m:r>
          </m:e>
          <m:sub>
            <m:r>
              <m:t>3</m:t>
            </m:r>
          </m:sub>
        </m:sSub>
      </m:oMath>
      <w:r>
        <w:t xml:space="preserve"> </w:t>
      </w:r>
      <w:r>
        <w:t xml:space="preserve">separately tests recurrent stability.</w:t>
      </w:r>
    </w:p>
    <w:bookmarkEnd w:id="82"/>
    <w:bookmarkStart w:id="83" w:name="X4b29d82877fad4d8a3e26ef68dd53277aa3bee9"/>
    <w:p>
      <w:pPr>
        <w:pStyle w:val="Heading3"/>
      </w:pPr>
      <w:r>
        <w:t xml:space="preserve">Objection 7: Subcortical spread is merely arousal</w:t>
      </w:r>
    </w:p>
    <w:p>
      <w:pPr>
        <w:pStyle w:val="FirstParagraph"/>
      </w:pPr>
      <w:r>
        <w:t xml:space="preserve">Often it may be. Arousal-only effects fail content selectivity. Subcortical routes count only when the content contrast, not just global state, modulates diverse recipients.</w:t>
      </w:r>
    </w:p>
    <w:bookmarkEnd w:id="83"/>
    <w:bookmarkStart w:id="84" w:name="objection-8-the-thresholds-are-arbitrary"/>
    <w:p>
      <w:pPr>
        <w:pStyle w:val="Heading3"/>
      </w:pPr>
      <w:r>
        <w:t xml:space="preserve">Objection 8: The thresholds are arbitrary</w:t>
      </w:r>
    </w:p>
    <w:p>
      <w:pPr>
        <w:pStyle w:val="FirstParagraph"/>
      </w:pPr>
      <w:r>
        <w:t xml:space="preserve">Initial thresholds are conventional hypotheses. They become scientifically useful through preregistration, positive and negative controls, uncertainty bounds, and falsification. Brittle results are reported as fragile or indeterminate.</w:t>
      </w:r>
    </w:p>
    <w:bookmarkEnd w:id="84"/>
    <w:bookmarkStart w:id="85" w:name="Xd6cb897c8ef348120feb17c0270407c18d96db7"/>
    <w:p>
      <w:pPr>
        <w:pStyle w:val="Heading3"/>
      </w:pPr>
      <w:r>
        <w:t xml:space="preserve">Objection 9: Report is still the only way to know the content</w:t>
      </w:r>
    </w:p>
    <w:p>
      <w:pPr>
        <w:pStyle w:val="FirstParagraph"/>
      </w:pPr>
      <w:r>
        <w:t xml:space="preserve">Reports are powerful calibration evidence in cooperative adults, but physical alternation, rivalry markers, physiological responses, decoding, and causal models provide additional evidence. None is infallible. The framework requires convergent content indexing without making one output constitutive.</w:t>
      </w:r>
    </w:p>
    <w:bookmarkEnd w:id="85"/>
    <w:bookmarkStart w:id="86" w:name="Xe942e350ecda0a3f1e11b3e976db50cb15ed81f"/>
    <w:p>
      <w:pPr>
        <w:pStyle w:val="Heading3"/>
      </w:pPr>
      <w:r>
        <w:t xml:space="preserve">Objection 10: The criterion is too hard to apply</w:t>
      </w:r>
    </w:p>
    <w:p>
      <w:pPr>
        <w:pStyle w:val="FirstParagraph"/>
      </w:pPr>
      <w:r>
        <w:t xml:space="preserve">The full standard is appropriate for strong system-wide claims. Partial studies can estimate one gate, but they should say so. A cheap proxy should not inherit the interpretation of a causal criterion without validation.</w:t>
      </w:r>
    </w:p>
    <w:bookmarkEnd w:id="86"/>
    <w:bookmarkStart w:id="87" w:name="X2eb54640a5c6472c5e2826c34b522cf6a232276"/>
    <w:p>
      <w:pPr>
        <w:pStyle w:val="Heading3"/>
      </w:pPr>
      <w:r>
        <w:t xml:space="preserve">Objection 11: One favorable context can always be found</w:t>
      </w:r>
    </w:p>
    <w:p>
      <w:pPr>
        <w:pStyle w:val="FirstParagraph"/>
      </w:pPr>
      <w:r>
        <w:t xml:space="preserve">Not under the confirmatory rule. Contexts must be declared independently, fall below the preparation-burden bound, preserve the operating regime, and receive weights before the critical result is inspected. A recipient must remain timely and effective across at least</w:t>
      </w:r>
      <w:r>
        <w:t xml:space="preserve"> </w:t>
      </w:r>
      <m:oMath>
        <m:sSub>
          <m:e>
            <m:r>
              <m:t>ρ</m:t>
            </m:r>
          </m:e>
          <m:sub>
            <m:r>
              <m:t>U</m:t>
            </m:r>
          </m:sub>
        </m:sSub>
      </m:oMath>
      <w:r>
        <w:t xml:space="preserve"> </w:t>
      </w:r>
      <w:r>
        <w:t xml:space="preserve">of that context mass. A large maximum effect in one negligible setup is reported descriptively but cannot qualify the class.</w:t>
      </w:r>
    </w:p>
    <w:bookmarkEnd w:id="87"/>
    <w:bookmarkEnd w:id="88"/>
    <w:bookmarkStart w:id="89" w:name="recommendations"/>
    <w:p>
      <w:pPr>
        <w:pStyle w:val="Heading2"/>
      </w:pPr>
      <w:r>
        <w:t xml:space="preserve">10. Recommendations</w:t>
      </w:r>
    </w:p>
    <w:p>
      <w:pPr>
        <w:pStyle w:val="Compact"/>
        <w:numPr>
          <w:ilvl w:val="0"/>
          <w:numId w:val="1005"/>
        </w:numPr>
      </w:pPr>
      <w:r>
        <w:t xml:space="preserve">Replace claims of</w:t>
      </w:r>
      <w:r>
        <w:t xml:space="preserve"> </w:t>
      </w:r>
      <w:r>
        <w:t xml:space="preserve">“global activation”</w:t>
      </w:r>
      <w:r>
        <w:t xml:space="preserve"> </w:t>
      </w:r>
      <w:r>
        <w:t xml:space="preserve">with explicit causal availability claims or more modest descriptive language.</w:t>
      </w:r>
    </w:p>
    <w:p>
      <w:pPr>
        <w:pStyle w:val="Compact"/>
        <w:numPr>
          <w:ilvl w:val="0"/>
          <w:numId w:val="1005"/>
        </w:numPr>
      </w:pPr>
      <w:r>
        <w:t xml:space="preserve">Freeze the candidate system before computing reach.</w:t>
      </w:r>
    </w:p>
    <w:p>
      <w:pPr>
        <w:pStyle w:val="Compact"/>
        <w:numPr>
          <w:ilvl w:val="0"/>
          <w:numId w:val="1005"/>
        </w:numPr>
      </w:pPr>
      <w:r>
        <w:t xml:space="preserve">Define the target content and matched control independently of report-related activity.</w:t>
      </w:r>
    </w:p>
    <w:p>
      <w:pPr>
        <w:pStyle w:val="Compact"/>
        <w:numPr>
          <w:ilvl w:val="0"/>
          <w:numId w:val="1005"/>
        </w:numPr>
      </w:pPr>
      <w:r>
        <w:t xml:space="preserve">Build recipient classes from independent causal repertoires, not node labels or anatomical distance.</w:t>
      </w:r>
    </w:p>
    <w:p>
      <w:pPr>
        <w:pStyle w:val="Compact"/>
        <w:numPr>
          <w:ilvl w:val="0"/>
          <w:numId w:val="1005"/>
        </w:numPr>
      </w:pPr>
      <w:r>
        <w:t xml:space="preserve">Bound context preparation explicitly and require robustness across a preregistered context distribution.</w:t>
      </w:r>
    </w:p>
    <w:p>
      <w:pPr>
        <w:pStyle w:val="Compact"/>
        <w:numPr>
          <w:ilvl w:val="0"/>
          <w:numId w:val="1005"/>
        </w:numPr>
      </w:pPr>
      <w:r>
        <w:t xml:space="preserve">Use content-preserving perturbations with energy, common-input, source-leakage, and shuffled-content controls.</w:t>
      </w:r>
    </w:p>
    <w:p>
      <w:pPr>
        <w:pStyle w:val="Compact"/>
        <w:numPr>
          <w:ilvl w:val="0"/>
          <w:numId w:val="1005"/>
        </w:numPr>
      </w:pPr>
      <w:r>
        <w:t xml:space="preserve">Report effect, latency, selectivity, route, and context-robustness evidence for every recipient class.</w:t>
      </w:r>
    </w:p>
    <w:p>
      <w:pPr>
        <w:pStyle w:val="Compact"/>
        <w:numPr>
          <w:ilvl w:val="0"/>
          <w:numId w:val="1005"/>
        </w:numPr>
      </w:pPr>
      <w:r>
        <w:t xml:space="preserve">Weight functional classes rather than raw nodes and report class-count plus diversity-evenness gates.</w:t>
      </w:r>
    </w:p>
    <w:p>
      <w:pPr>
        <w:pStyle w:val="Compact"/>
        <w:numPr>
          <w:ilvl w:val="0"/>
          <w:numId w:val="1005"/>
        </w:numPr>
      </w:pPr>
      <w:r>
        <w:t xml:space="preserve">Recompute the result without report and executive classes.</w:t>
      </w:r>
    </w:p>
    <w:p>
      <w:pPr>
        <w:pStyle w:val="Compact"/>
        <w:numPr>
          <w:ilvl w:val="0"/>
          <w:numId w:val="1005"/>
        </w:numPr>
      </w:pPr>
      <w:r>
        <w:t xml:space="preserve">Permit posterior and subcortical architectures, but apply identical causal standards.</w:t>
      </w:r>
    </w:p>
    <w:p>
      <w:pPr>
        <w:pStyle w:val="Compact"/>
        <w:numPr>
          <w:ilvl w:val="0"/>
          <w:numId w:val="1005"/>
        </w:numPr>
      </w:pPr>
      <w:r>
        <w:t xml:space="preserve">Stress-test grain, taxonomy, thresholds, contexts, and intervention design.</w:t>
      </w:r>
    </w:p>
    <w:p>
      <w:pPr>
        <w:pStyle w:val="Compact"/>
        <w:numPr>
          <w:ilvl w:val="0"/>
          <w:numId w:val="1005"/>
        </w:numPr>
      </w:pPr>
      <w:r>
        <w:t xml:space="preserve">Return indeterminate or unlicensed when the evidence or interpretation fails.</w:t>
      </w:r>
    </w:p>
    <w:p>
      <w:pPr>
        <w:pStyle w:val="Compact"/>
        <w:numPr>
          <w:ilvl w:val="0"/>
          <w:numId w:val="1005"/>
        </w:numPr>
      </w:pPr>
      <w:r>
        <w:t xml:space="preserve">Keep the</w:t>
      </w:r>
      <w:r>
        <w:t xml:space="preserve"> </w:t>
      </w:r>
      <m:oMath>
        <m:sSub>
          <m:e>
            <m:r>
              <m:t>N</m:t>
            </m:r>
          </m:e>
          <m:sub>
            <m:r>
              <m:t>2</m:t>
            </m:r>
          </m:sub>
        </m:sSub>
      </m:oMath>
      <w:r>
        <w:t xml:space="preserve"> </w:t>
      </w:r>
      <w:r>
        <w:t xml:space="preserve">result separate from the final</w:t>
      </w:r>
      <w:r>
        <w:t xml:space="preserve"> </w:t>
      </w:r>
      <m:oMath>
        <m:sSup>
          <m:e>
            <m:r>
              <m:t>N</m:t>
            </m:r>
          </m:e>
          <m:sup>
            <m:r>
              <m:rPr>
                <m:sty m:val="p"/>
              </m:rPr>
              <m:t>*</m:t>
            </m:r>
          </m:sup>
        </m:sSup>
      </m:oMath>
      <w:r>
        <w:t xml:space="preserve"> </w:t>
      </w:r>
      <w:r>
        <w:t xml:space="preserve">and consciousness classifications.</w:t>
      </w:r>
    </w:p>
    <w:bookmarkEnd w:id="89"/>
    <w:bookmarkStart w:id="90" w:name="conclusion"/>
    <w:p>
      <w:pPr>
        <w:pStyle w:val="Heading2"/>
      </w:pPr>
      <w:r>
        <w:t xml:space="preserve">11. Conclusion</w:t>
      </w:r>
    </w:p>
    <w:p>
      <w:pPr>
        <w:pStyle w:val="FirstParagraph"/>
      </w:pPr>
      <w:r>
        <w:t xml:space="preserve">System-wide availability should not be read off a button press, a frontal activation, a colorful whole-brain map, or the number of nodes reached by a signal. Each can be useful evidence; none defines the property. Availability is a causal disposition of a bounded, organized system. It concerns whether a content could make a timely, content-specific difference across a functionally diverse set of recipients under nearby admissible conditions.</w:t>
      </w:r>
    </w:p>
    <w:p>
      <w:pPr>
        <w:pStyle w:val="BodyText"/>
      </w:pPr>
      <w:r>
        <w:t xml:space="preserve">The proposed criterion gives that idea empirical structure. It freezes the system and recipient taxonomy, bounds the cost of nearby contexts, requires reach across a nontrivial preregistered context mass, verifies source fidelity, estimates class-specific intervention effects and latency, tests content selectivity and causal routes, aggregates over functional rather than anatomical diversity, and removes report and executive dependence from the positive rule. It permits nonexecutive, posterior, and subcortical implementations without granting any of them automatic success. It also preserves negative, indeterminate, and unlicensed outcomes.</w:t>
      </w:r>
    </w:p>
    <w:p>
      <w:pPr>
        <w:pStyle w:val="BodyText"/>
      </w:pPr>
      <w:r>
        <w:t xml:space="preserve">This sharpening makes</w:t>
      </w:r>
      <w:r>
        <w:t xml:space="preserve"> </w:t>
      </w:r>
      <m:oMath>
        <m:sSub>
          <m:e>
            <m:r>
              <m:t>N</m:t>
            </m:r>
          </m:e>
          <m:sub>
            <m:r>
              <m:t>2</m:t>
            </m:r>
          </m:sub>
        </m:sSub>
      </m:oMath>
      <w:r>
        <w:t xml:space="preserve"> </w:t>
      </w:r>
      <w:r>
        <w:t xml:space="preserve">riskier and therefore more useful. If conscious contents systematically fail the criterion, broadcast availability is too strong. If unconscious diffusion repeatedly passes, it is too weak. If report or executive access proves unavoidable, the model must acknowledge that burden. A component of a consciousness theory should not be protected by ambiguity. It should expose exactly what the world would have to show.</w:t>
      </w:r>
    </w:p>
    <w:bookmarkEnd w:id="90"/>
    <w:bookmarkStart w:id="112" w:name="references"/>
    <w:p>
      <w:pPr>
        <w:pStyle w:val="Heading2"/>
        <w:pageBreakBefore/>
      </w:pPr>
      <w:r>
        <w:t xml:space="preserve">References</w:t>
      </w:r>
    </w:p>
    <w:p>
      <w:pPr>
        <w:pStyle w:val="FirstParagraph"/>
        <w:spacing w:after="160"/>
        <w:ind w:left="432" w:hanging="432"/>
      </w:pPr>
      <w:r>
        <w:t xml:space="preserve">Baars, B. J. (1988).</w:t>
      </w:r>
      <w:r>
        <w:t xml:space="preserve"> </w:t>
      </w:r>
      <w:r>
        <w:rPr>
          <w:i/>
          <w:iCs/>
        </w:rPr>
        <w:t xml:space="preserve">A cognitive theory of consciousness</w:t>
      </w:r>
      <w:r>
        <w:t xml:space="preserve">. Cambridge University Press.</w:t>
      </w:r>
    </w:p>
    <w:p>
      <w:pPr>
        <w:pStyle w:val="BodyText"/>
        <w:spacing w:after="160"/>
        <w:ind w:left="432" w:hanging="432"/>
      </w:pPr>
      <w:r>
        <w:t xml:space="preserve">Block, N. (1995). On a confusion about a function of consciousness.</w:t>
      </w:r>
      <w:r>
        <w:t xml:space="preserve"> </w:t>
      </w:r>
      <w:r>
        <w:rPr>
          <w:i/>
          <w:iCs/>
        </w:rPr>
        <w:t xml:space="preserve">Behavioral and Brain Sciences, 18</w:t>
      </w:r>
      <w:r>
        <w:t xml:space="preserve">(2), 227-247.</w:t>
      </w:r>
      <w:r>
        <w:t xml:space="preserve"> </w:t>
      </w:r>
      <w:hyperlink r:id="rId91">
        <w:r>
          <w:rPr>
            <w:rStyle w:val="Hyperlink"/>
          </w:rPr>
          <w:t xml:space="preserve">https://doi.org/10.1017/S0140525X00038188</w:t>
        </w:r>
      </w:hyperlink>
    </w:p>
    <w:p>
      <w:pPr>
        <w:pStyle w:val="BodyText"/>
        <w:spacing w:after="160"/>
        <w:ind w:left="432" w:hanging="432"/>
      </w:pPr>
      <w:r>
        <w:t xml:space="preserve">Casali, A. G., Gosseries, O., Rosanova, M., Boly, M., Sarasso, S., Casali, K. R., Casarotto, S., Bruno, M.-A., Laureys, S., Tononi, G., &amp; Massimini, M. (2013). A theoretically based index of consciousness independent of sensory processing and behavior.</w:t>
      </w:r>
      <w:r>
        <w:t xml:space="preserve"> </w:t>
      </w:r>
      <w:r>
        <w:rPr>
          <w:i/>
          <w:iCs/>
        </w:rPr>
        <w:t xml:space="preserve">Science Translational Medicine, 5</w:t>
      </w:r>
      <w:r>
        <w:t xml:space="preserve">(198), 198ra105.</w:t>
      </w:r>
      <w:r>
        <w:t xml:space="preserve"> </w:t>
      </w:r>
      <w:hyperlink r:id="rId92">
        <w:r>
          <w:rPr>
            <w:rStyle w:val="Hyperlink"/>
          </w:rPr>
          <w:t xml:space="preserve">https://doi.org/10.1126/scitranslmed.3006294</w:t>
        </w:r>
      </w:hyperlink>
    </w:p>
    <w:p>
      <w:pPr>
        <w:pStyle w:val="BodyText"/>
        <w:spacing w:after="160"/>
        <w:ind w:left="432" w:hanging="432"/>
      </w:pPr>
      <w:r>
        <w:t xml:space="preserve">Cai, W., Ryali, S., Pasumarthy, R., Talasila, V., &amp; Menon, V. (2021). Dynamic causal brain circuits during working memory and their functional controllability.</w:t>
      </w:r>
      <w:r>
        <w:t xml:space="preserve"> </w:t>
      </w:r>
      <w:r>
        <w:rPr>
          <w:i/>
          <w:iCs/>
        </w:rPr>
        <w:t xml:space="preserve">Nature Communications, 12</w:t>
      </w:r>
      <w:r>
        <w:t xml:space="preserve">, 3314.</w:t>
      </w:r>
      <w:r>
        <w:t xml:space="preserve"> </w:t>
      </w:r>
      <w:hyperlink r:id="rId93">
        <w:r>
          <w:rPr>
            <w:rStyle w:val="Hyperlink"/>
          </w:rPr>
          <w:t xml:space="preserve">https://doi.org/10.1038/s41467-021-23509-x</w:t>
        </w:r>
      </w:hyperlink>
    </w:p>
    <w:p>
      <w:pPr>
        <w:pStyle w:val="BodyText"/>
        <w:spacing w:after="160"/>
        <w:ind w:left="432" w:hanging="432"/>
      </w:pPr>
      <w:r>
        <w:t xml:space="preserve">Cogitate Consortium. (2025). Adversarial testing of global neuronal workspace and integrated information theories of consciousness.</w:t>
      </w:r>
      <w:r>
        <w:t xml:space="preserve"> </w:t>
      </w:r>
      <w:r>
        <w:rPr>
          <w:i/>
          <w:iCs/>
        </w:rPr>
        <w:t xml:space="preserve">Nature, 642</w:t>
      </w:r>
      <w:r>
        <w:t xml:space="preserve">, 133-142.</w:t>
      </w:r>
      <w:r>
        <w:t xml:space="preserve"> </w:t>
      </w:r>
      <w:hyperlink r:id="rId94">
        <w:r>
          <w:rPr>
            <w:rStyle w:val="Hyperlink"/>
          </w:rPr>
          <w:t xml:space="preserve">https://doi.org/10.1038/s41586-025-08888-1</w:t>
        </w:r>
      </w:hyperlink>
    </w:p>
    <w:p>
      <w:pPr>
        <w:pStyle w:val="BodyText"/>
        <w:spacing w:after="160"/>
        <w:ind w:left="432" w:hanging="432"/>
      </w:pPr>
      <w:r>
        <w:t xml:space="preserve">Dehaene, S., &amp; Changeux, J.-P. (2011). Experimental and theoretical approaches to conscious processing.</w:t>
      </w:r>
      <w:r>
        <w:t xml:space="preserve"> </w:t>
      </w:r>
      <w:r>
        <w:rPr>
          <w:i/>
          <w:iCs/>
        </w:rPr>
        <w:t xml:space="preserve">Neuron, 70</w:t>
      </w:r>
      <w:r>
        <w:t xml:space="preserve">(2), 200-227.</w:t>
      </w:r>
      <w:r>
        <w:t xml:space="preserve"> </w:t>
      </w:r>
      <w:hyperlink r:id="rId95">
        <w:r>
          <w:rPr>
            <w:rStyle w:val="Hyperlink"/>
          </w:rPr>
          <w:t xml:space="preserve">https://doi.org/10.1016/j.neuron.2011.03.018</w:t>
        </w:r>
      </w:hyperlink>
    </w:p>
    <w:p>
      <w:pPr>
        <w:pStyle w:val="BodyText"/>
        <w:spacing w:after="160"/>
        <w:ind w:left="432" w:hanging="432"/>
      </w:pPr>
      <w:r>
        <w:t xml:space="preserve">Frassle, S., Sommer, J., Jansen, A., Naber, M., &amp; Einhauser, W. (2014). Binocular rivalry: Frontal activity relates to introspection and action but not to perception.</w:t>
      </w:r>
      <w:r>
        <w:t xml:space="preserve"> </w:t>
      </w:r>
      <w:r>
        <w:rPr>
          <w:i/>
          <w:iCs/>
        </w:rPr>
        <w:t xml:space="preserve">Journal of Neuroscience, 34</w:t>
      </w:r>
      <w:r>
        <w:t xml:space="preserve">(5), 1738-1747.</w:t>
      </w:r>
      <w:r>
        <w:t xml:space="preserve"> </w:t>
      </w:r>
      <w:hyperlink r:id="rId96">
        <w:r>
          <w:rPr>
            <w:rStyle w:val="Hyperlink"/>
          </w:rPr>
          <w:t xml:space="preserve">https://doi.org/10.1523/JNEUROSCI.4403-13.2014</w:t>
        </w:r>
      </w:hyperlink>
    </w:p>
    <w:p>
      <w:pPr>
        <w:pStyle w:val="BodyText"/>
        <w:spacing w:after="160"/>
        <w:ind w:left="432" w:hanging="432"/>
      </w:pPr>
      <w:r>
        <w:t xml:space="preserve">Gu, S., Pasqualetti, F., Cieslak, M., Telesford, Q. K., Yu, A. B., Kahn, A. E., Medaglia, J. D., Vettel, J. M., Miller, M. B., Grafton, S. T., &amp; Bassett, D. S. (2015). Controllability of structural brain networks.</w:t>
      </w:r>
      <w:r>
        <w:t xml:space="preserve"> </w:t>
      </w:r>
      <w:r>
        <w:rPr>
          <w:i/>
          <w:iCs/>
        </w:rPr>
        <w:t xml:space="preserve">Nature Communications, 6</w:t>
      </w:r>
      <w:r>
        <w:t xml:space="preserve">, 8414.</w:t>
      </w:r>
      <w:r>
        <w:t xml:space="preserve"> </w:t>
      </w:r>
      <w:hyperlink r:id="rId97">
        <w:r>
          <w:rPr>
            <w:rStyle w:val="Hyperlink"/>
          </w:rPr>
          <w:t xml:space="preserve">https://doi.org/10.1038/ncomms9414</w:t>
        </w:r>
      </w:hyperlink>
    </w:p>
    <w:p>
      <w:pPr>
        <w:pStyle w:val="BodyText"/>
        <w:spacing w:after="160"/>
        <w:ind w:left="432" w:hanging="432"/>
      </w:pPr>
      <w:r>
        <w:t xml:space="preserve">Guimera, R., &amp; Amaral, L. A. N. (2005). Functional cartography of complex metabolic networks.</w:t>
      </w:r>
      <w:r>
        <w:t xml:space="preserve"> </w:t>
      </w:r>
      <w:r>
        <w:rPr>
          <w:i/>
          <w:iCs/>
        </w:rPr>
        <w:t xml:space="preserve">Nature, 433</w:t>
      </w:r>
      <w:r>
        <w:t xml:space="preserve">, 895-900.</w:t>
      </w:r>
      <w:r>
        <w:t xml:space="preserve"> </w:t>
      </w:r>
      <w:hyperlink r:id="rId98">
        <w:r>
          <w:rPr>
            <w:rStyle w:val="Hyperlink"/>
          </w:rPr>
          <w:t xml:space="preserve">https://doi.org/10.1038/nature03288</w:t>
        </w:r>
      </w:hyperlink>
    </w:p>
    <w:p>
      <w:pPr>
        <w:pStyle w:val="BodyText"/>
        <w:spacing w:after="160"/>
        <w:ind w:left="432" w:hanging="432"/>
      </w:pPr>
      <w:r>
        <w:t xml:space="preserve">Kapoor, V., Dwarakanath, A., Safavi, S., Werner, J., Besserve, M., Panagiotaropoulos, T. I., &amp; Logothetis, N. K. (2022). Decoding internally generated transitions of conscious contents in the prefrontal cortex without subjective reports.</w:t>
      </w:r>
      <w:r>
        <w:t xml:space="preserve"> </w:t>
      </w:r>
      <w:r>
        <w:rPr>
          <w:i/>
          <w:iCs/>
        </w:rPr>
        <w:t xml:space="preserve">Nature Communications, 13</w:t>
      </w:r>
      <w:r>
        <w:t xml:space="preserve">, 1535.</w:t>
      </w:r>
      <w:r>
        <w:t xml:space="preserve"> </w:t>
      </w:r>
      <w:hyperlink r:id="rId99">
        <w:r>
          <w:rPr>
            <w:rStyle w:val="Hyperlink"/>
          </w:rPr>
          <w:t xml:space="preserve">https://doi.org/10.1038/s41467-022-28897-2</w:t>
        </w:r>
      </w:hyperlink>
    </w:p>
    <w:p>
      <w:pPr>
        <w:pStyle w:val="BodyText"/>
        <w:spacing w:after="160"/>
        <w:ind w:left="432" w:hanging="432"/>
      </w:pPr>
      <w:r>
        <w:t xml:space="preserve">Kronemer, S. I., Aksen, M., Ding, J. Z., Ryu, J. H., Xin, Q., Ding, Z., Prince, J. S., Kwon, H., Khalaf, A., Forman, S., et al. (2022). Human visual consciousness involves large-scale cortical and subcortical networks independent of task report and eye movement activity.</w:t>
      </w:r>
      <w:r>
        <w:t xml:space="preserve"> </w:t>
      </w:r>
      <w:r>
        <w:rPr>
          <w:i/>
          <w:iCs/>
        </w:rPr>
        <w:t xml:space="preserve">Nature Communications, 13</w:t>
      </w:r>
      <w:r>
        <w:t xml:space="preserve">, 7342.</w:t>
      </w:r>
      <w:r>
        <w:t xml:space="preserve"> </w:t>
      </w:r>
      <w:hyperlink r:id="rId100">
        <w:r>
          <w:rPr>
            <w:rStyle w:val="Hyperlink"/>
          </w:rPr>
          <w:t xml:space="preserve">https://doi.org/10.1038/s41467-022-35117-4</w:t>
        </w:r>
      </w:hyperlink>
    </w:p>
    <w:p>
      <w:pPr>
        <w:pStyle w:val="BodyText"/>
        <w:spacing w:after="160"/>
        <w:ind w:left="432" w:hanging="432"/>
      </w:pPr>
      <w:r>
        <w:t xml:space="preserve">Lamme, V. A. F. (2006). Towards a true neural stance on consciousness.</w:t>
      </w:r>
      <w:r>
        <w:t xml:space="preserve"> </w:t>
      </w:r>
      <w:r>
        <w:rPr>
          <w:i/>
          <w:iCs/>
        </w:rPr>
        <w:t xml:space="preserve">Trends in Cognitive Sciences, 10</w:t>
      </w:r>
      <w:r>
        <w:t xml:space="preserve">(11), 494-501.</w:t>
      </w:r>
      <w:r>
        <w:t xml:space="preserve"> </w:t>
      </w:r>
      <w:hyperlink r:id="rId101">
        <w:r>
          <w:rPr>
            <w:rStyle w:val="Hyperlink"/>
          </w:rPr>
          <w:t xml:space="preserve">https://doi.org/10.1016/j.tics.2006.09.001</w:t>
        </w:r>
      </w:hyperlink>
    </w:p>
    <w:p>
      <w:pPr>
        <w:pStyle w:val="BodyText"/>
        <w:spacing w:after="160"/>
        <w:ind w:left="432" w:hanging="432"/>
      </w:pPr>
      <w:r>
        <w:t xml:space="preserve">Luo, Z., Peng, K., Liang, Z., Cai, S., Xu, C., Li, D., Hu, Y., Zhou, C., et al. (2025). Mapping effective connectivity by virtually perturbing a surrogate brain.</w:t>
      </w:r>
      <w:r>
        <w:t xml:space="preserve"> </w:t>
      </w:r>
      <w:r>
        <w:rPr>
          <w:i/>
          <w:iCs/>
        </w:rPr>
        <w:t xml:space="preserve">Nature Methods, 22</w:t>
      </w:r>
      <w:r>
        <w:t xml:space="preserve">, 1376-1385.</w:t>
      </w:r>
      <w:r>
        <w:t xml:space="preserve"> </w:t>
      </w:r>
      <w:hyperlink r:id="rId102">
        <w:r>
          <w:rPr>
            <w:rStyle w:val="Hyperlink"/>
          </w:rPr>
          <w:t xml:space="preserve">https://doi.org/10.1038/s41592-025-02654-x</w:t>
        </w:r>
      </w:hyperlink>
    </w:p>
    <w:p>
      <w:pPr>
        <w:pStyle w:val="BodyText"/>
        <w:spacing w:after="160"/>
        <w:ind w:left="432" w:hanging="432"/>
      </w:pPr>
      <w:r>
        <w:t xml:space="preserve">Lyu, D., Stiger, J. R., Lusk, Z., Buch, V., et al. (2025). Mapping human thalamocortical connectivity with electrical stimulation and recording.</w:t>
      </w:r>
      <w:r>
        <w:t xml:space="preserve"> </w:t>
      </w:r>
      <w:r>
        <w:rPr>
          <w:i/>
          <w:iCs/>
        </w:rPr>
        <w:t xml:space="preserve">Nature Neuroscience, 28</w:t>
      </w:r>
      <w:r>
        <w:t xml:space="preserve">, 1797-1809.</w:t>
      </w:r>
      <w:r>
        <w:t xml:space="preserve"> </w:t>
      </w:r>
      <w:hyperlink r:id="rId103">
        <w:r>
          <w:rPr>
            <w:rStyle w:val="Hyperlink"/>
          </w:rPr>
          <w:t xml:space="preserve">https://doi.org/10.1038/s41593-025-02009-x</w:t>
        </w:r>
      </w:hyperlink>
    </w:p>
    <w:p>
      <w:pPr>
        <w:pStyle w:val="BodyText"/>
        <w:spacing w:after="160"/>
        <w:ind w:left="432" w:hanging="432"/>
      </w:pPr>
      <w:r>
        <w:t xml:space="preserve">Mashour, G. A., Roelfsema, P. R., Changeux, J.-P., &amp; Dehaene, S. (2020). Conscious processing and the global neuronal workspace hypothesis.</w:t>
      </w:r>
      <w:r>
        <w:t xml:space="preserve"> </w:t>
      </w:r>
      <w:r>
        <w:rPr>
          <w:i/>
          <w:iCs/>
        </w:rPr>
        <w:t xml:space="preserve">Neuron, 105</w:t>
      </w:r>
      <w:r>
        <w:t xml:space="preserve">(5), 776-798.</w:t>
      </w:r>
      <w:r>
        <w:t xml:space="preserve"> </w:t>
      </w:r>
      <w:hyperlink r:id="rId104">
        <w:r>
          <w:rPr>
            <w:rStyle w:val="Hyperlink"/>
          </w:rPr>
          <w:t xml:space="preserve">https://doi.org/10.1016/j.neuron.2020.01.026</w:t>
        </w:r>
      </w:hyperlink>
    </w:p>
    <w:p>
      <w:pPr>
        <w:pStyle w:val="BodyText"/>
        <w:spacing w:after="160"/>
        <w:ind w:left="432" w:hanging="432"/>
      </w:pPr>
      <w:r>
        <w:t xml:space="preserve">Pearl, J. (2009).</w:t>
      </w:r>
      <w:r>
        <w:t xml:space="preserve"> </w:t>
      </w:r>
      <w:r>
        <w:rPr>
          <w:i/>
          <w:iCs/>
        </w:rPr>
        <w:t xml:space="preserve">Causality: Models, reasoning, and inference</w:t>
      </w:r>
      <w:r>
        <w:t xml:space="preserve"> </w:t>
      </w:r>
      <w:r>
        <w:t xml:space="preserve">(2nd ed.). Cambridge University Press.</w:t>
      </w:r>
      <w:r>
        <w:t xml:space="preserve"> </w:t>
      </w:r>
      <w:hyperlink r:id="rId105">
        <w:r>
          <w:rPr>
            <w:rStyle w:val="Hyperlink"/>
          </w:rPr>
          <w:t xml:space="preserve">https://doi.org/10.1017/CBO9780511803161</w:t>
        </w:r>
      </w:hyperlink>
    </w:p>
    <w:p>
      <w:pPr>
        <w:pStyle w:val="BodyText"/>
        <w:spacing w:after="160"/>
        <w:ind w:left="432" w:hanging="432"/>
      </w:pPr>
      <w:r>
        <w:t xml:space="preserve">Pitts, M. A., Padwal, J., Fennelly, D., Martinez, A., &amp; Hillyard, S. A. (2014). Gamma band activity and the P3 reflect post-perceptual processes, not visual awareness.</w:t>
      </w:r>
      <w:r>
        <w:t xml:space="preserve"> </w:t>
      </w:r>
      <w:r>
        <w:rPr>
          <w:i/>
          <w:iCs/>
        </w:rPr>
        <w:t xml:space="preserve">Frontiers in Psychology, 5</w:t>
      </w:r>
      <w:r>
        <w:t xml:space="preserve">, 1078.</w:t>
      </w:r>
      <w:r>
        <w:t xml:space="preserve"> </w:t>
      </w:r>
      <w:hyperlink r:id="rId106">
        <w:r>
          <w:rPr>
            <w:rStyle w:val="Hyperlink"/>
          </w:rPr>
          <w:t xml:space="preserve">https://doi.org/10.3389/fpsyg.2014.01078</w:t>
        </w:r>
      </w:hyperlink>
    </w:p>
    <w:p>
      <w:pPr>
        <w:pStyle w:val="BodyText"/>
        <w:spacing w:after="160"/>
        <w:ind w:left="432" w:hanging="432"/>
      </w:pPr>
      <w:r>
        <w:t xml:space="preserve">Redinbaugh, M. J., Phillips, J. M., Kambi, N. A., Mohanta, S., Andryk, S., Dooley, G. L., Afrasiabi, M., Raz, A., &amp; Saalmann, Y. B. (2020). Thalamus modulates consciousness via layer-specific control of cortex.</w:t>
      </w:r>
      <w:r>
        <w:t xml:space="preserve"> </w:t>
      </w:r>
      <w:r>
        <w:rPr>
          <w:i/>
          <w:iCs/>
        </w:rPr>
        <w:t xml:space="preserve">Neuron, 106</w:t>
      </w:r>
      <w:r>
        <w:t xml:space="preserve">(1), 66-75.e12.</w:t>
      </w:r>
      <w:r>
        <w:t xml:space="preserve"> </w:t>
      </w:r>
      <w:hyperlink r:id="rId107">
        <w:r>
          <w:rPr>
            <w:rStyle w:val="Hyperlink"/>
          </w:rPr>
          <w:t xml:space="preserve">https://doi.org/10.1016/j.neuron.2020.01.005</w:t>
        </w:r>
      </w:hyperlink>
    </w:p>
    <w:p>
      <w:pPr>
        <w:pStyle w:val="BodyText"/>
        <w:spacing w:after="160"/>
        <w:ind w:left="432" w:hanging="432"/>
      </w:pPr>
      <w:r>
        <w:t xml:space="preserve">Solomon, E. A., Kragel, J. E., Gross, R., Lega, B., Sperling, M. R., Worrell, G., Sheth, S. A., Zaghloul, K. A., Jobst, B. C., Stein, J. M., et al. (2018). Medial temporal lobe functional connectivity predicts stimulation-induced theta power.</w:t>
      </w:r>
      <w:r>
        <w:t xml:space="preserve"> </w:t>
      </w:r>
      <w:r>
        <w:rPr>
          <w:i/>
          <w:iCs/>
        </w:rPr>
        <w:t xml:space="preserve">Nature Communications, 9</w:t>
      </w:r>
      <w:r>
        <w:t xml:space="preserve">, 4437.</w:t>
      </w:r>
      <w:r>
        <w:t xml:space="preserve"> </w:t>
      </w:r>
      <w:hyperlink r:id="rId108">
        <w:r>
          <w:rPr>
            <w:rStyle w:val="Hyperlink"/>
          </w:rPr>
          <w:t xml:space="preserve">https://doi.org/10.1038/s41467-018-06876-w</w:t>
        </w:r>
      </w:hyperlink>
    </w:p>
    <w:p>
      <w:pPr>
        <w:pStyle w:val="BodyText"/>
        <w:spacing w:after="160"/>
        <w:ind w:left="432" w:hanging="432"/>
      </w:pPr>
      <w:r>
        <w:t xml:space="preserve">Stilwell, P. (2026a).</w:t>
      </w:r>
      <w:r>
        <w:t xml:space="preserve"> </w:t>
      </w:r>
      <w:r>
        <w:rPr>
          <w:i/>
          <w:iCs/>
        </w:rPr>
        <w:t xml:space="preserve">C0 as N*: A minimal network-dynamics model of phenomenal consciousness</w:t>
      </w:r>
      <w:r>
        <w:t xml:space="preserve"> </w:t>
      </w:r>
      <w:r>
        <w:t xml:space="preserve">[Manuscript].</w:t>
      </w:r>
    </w:p>
    <w:p>
      <w:pPr>
        <w:pStyle w:val="BodyText"/>
        <w:spacing w:after="160"/>
        <w:ind w:left="432" w:hanging="432"/>
      </w:pPr>
      <w:r>
        <w:t xml:space="preserve">Stilwell, P. (2026b).</w:t>
      </w:r>
      <w:r>
        <w:t xml:space="preserve"> </w:t>
      </w:r>
      <w:r>
        <w:rPr>
          <w:i/>
          <w:iCs/>
        </w:rPr>
        <w:t xml:space="preserve">Indeterminacy as a scientific result: A four-outcome framework for consciousness attribution</w:t>
      </w:r>
      <w:r>
        <w:t xml:space="preserve"> </w:t>
      </w:r>
      <w:r>
        <w:t xml:space="preserve">[Manuscript].</w:t>
      </w:r>
    </w:p>
    <w:p>
      <w:pPr>
        <w:pStyle w:val="BodyText"/>
        <w:spacing w:after="160"/>
        <w:ind w:left="432" w:hanging="432"/>
      </w:pPr>
      <w:r>
        <w:t xml:space="preserve">Stilwell, P. (2026c).</w:t>
      </w:r>
      <w:r>
        <w:t xml:space="preserve"> </w:t>
      </w:r>
      <w:r>
        <w:rPr>
          <w:i/>
          <w:iCs/>
        </w:rPr>
        <w:t xml:space="preserve">Where is the conscious subject? A dynamical criterion for system boundaries</w:t>
      </w:r>
      <w:r>
        <w:t xml:space="preserve"> </w:t>
      </w:r>
      <w:r>
        <w:t xml:space="preserve">[Manuscript].</w:t>
      </w:r>
    </w:p>
    <w:p>
      <w:pPr>
        <w:pStyle w:val="BodyText"/>
        <w:spacing w:after="160"/>
        <w:ind w:left="432" w:hanging="432"/>
      </w:pPr>
      <w:r>
        <w:t xml:space="preserve">Storm, J. F., Klink, P. C., Aru, J., Senn, W., Goebel, R., Pigorini, A., Avanzini, P., Vanduffel, W., Roelfsema, P. R., Massimini, M., Larkum, M. E., &amp; Pennartz, C. M. A. (2024). An integrative, multiscale view on neural theories of consciousness.</w:t>
      </w:r>
      <w:r>
        <w:t xml:space="preserve"> </w:t>
      </w:r>
      <w:r>
        <w:rPr>
          <w:i/>
          <w:iCs/>
        </w:rPr>
        <w:t xml:space="preserve">Neuron, 112</w:t>
      </w:r>
      <w:r>
        <w:t xml:space="preserve">(10), 1531-1552.</w:t>
      </w:r>
      <w:r>
        <w:t xml:space="preserve"> </w:t>
      </w:r>
      <w:hyperlink r:id="rId109">
        <w:r>
          <w:rPr>
            <w:rStyle w:val="Hyperlink"/>
          </w:rPr>
          <w:t xml:space="preserve">https://doi.org/10.1016/j.neuron.2024.02.004</w:t>
        </w:r>
      </w:hyperlink>
    </w:p>
    <w:p>
      <w:pPr>
        <w:pStyle w:val="BodyText"/>
        <w:spacing w:after="160"/>
        <w:ind w:left="432" w:hanging="432"/>
      </w:pPr>
      <w:r>
        <w:t xml:space="preserve">Tsuchiya, N., Wilke, M., Frassle, S., &amp; Lamme, V. A. F. (2015). No-report paradigms: Extracting the true neural correlates of consciousness.</w:t>
      </w:r>
      <w:r>
        <w:t xml:space="preserve"> </w:t>
      </w:r>
      <w:r>
        <w:rPr>
          <w:i/>
          <w:iCs/>
        </w:rPr>
        <w:t xml:space="preserve">Trends in Cognitive Sciences, 19</w:t>
      </w:r>
      <w:r>
        <w:t xml:space="preserve">(12), 757-770.</w:t>
      </w:r>
      <w:r>
        <w:t xml:space="preserve"> </w:t>
      </w:r>
      <w:hyperlink r:id="rId110">
        <w:r>
          <w:rPr>
            <w:rStyle w:val="Hyperlink"/>
          </w:rPr>
          <w:t xml:space="preserve">https://doi.org/10.1016/j.tics.2015.10.002</w:t>
        </w:r>
      </w:hyperlink>
    </w:p>
    <w:p>
      <w:pPr>
        <w:pStyle w:val="BodyText"/>
        <w:spacing w:before="200" w:after="160"/>
        <w:ind w:left="0" w:firstLine="0"/>
      </w:pPr>
      <w:r>
        <w:rPr>
          <w:b/>
          <w:bCs/>
        </w:rPr>
        <w:t xml:space="preserve">Central paper and related publications:</w:t>
      </w:r>
      <w:r>
        <w:t xml:space="preserve"> </w:t>
      </w:r>
      <w:hyperlink r:id="rId111">
        <w:r>
          <w:rPr>
            <w:rStyle w:val="Hyperlink"/>
          </w:rPr>
          <w:t xml:space="preserve">https://philstilwell.github.io/C0/</w:t>
        </w:r>
      </w:hyperlink>
    </w:p>
    <w:bookmarkEnd w:id="112"/>
    <w:bookmarkStart w:id="113" w:name="appendix-a-glossary-and-notation"/>
    <w:p>
      <w:pPr>
        <w:pStyle w:val="Heading2"/>
        <w:pageBreakBefore/>
      </w:pPr>
      <w:r>
        <w:t xml:space="preserve">Appendix A: Glossary and notation</w:t>
      </w:r>
    </w:p>
    <w:tbl>
      <w:tblPr>
        <w:tblW w:type="pct" w:w="5000"/>
        <w:jc w:val="center"/>
        <w:tblLayout w:type="fixed"/>
        <w:tblLook w:firstRow="1" w:lastRow="0" w:firstColumn="0" w:lastColumn="0" w:noHBand="0" w:noVBand="0" w:val="0020"/>
      </w:tblPr>
      <w:tblGrid>
        <w:gridCol w:w="1504"/>
        <w:gridCol w:w="2692"/>
        <w:gridCol w:w="3722"/>
      </w:tblGrid>
      <w:tr>
        <w:trPr>
          <w:tblHeader w:val="on"/>
          <w:cantSplit/>
          <w:tblHeader w:val="true"/>
        </w:trPr>
        <w:tc>
          <w:tcPr>
            <w:tcW w:type="dxa" w:w="1778"/>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Term or symbol</w:t>
            </w:r>
          </w:p>
        </w:tc>
        <w:tc>
          <w:tcPr>
            <w:tcW w:type="dxa" w:w="3182"/>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Definition</w:t>
            </w:r>
          </w:p>
        </w:tc>
        <w:tc>
          <w:tcPr>
            <w:tcW w:type="dxa" w:w="4399"/>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Guardrail</w:t>
            </w:r>
          </w:p>
        </w:tc>
      </w:tr>
      <w:tr>
        <w:trPr>
          <w:cantSplit/>
        </w:trPr>
        <w:tc>
          <w:tcPr>
            <w:tcW w:type="dxa" w:w="1778"/>
            <w:shd w:fill="FFFFFF" w:val="clear"/>
          </w:tcPr>
          <w:p>
            <w:pPr>
              <w:pStyle w:val="Compact"/>
              <w:spacing w:after="60"/>
            </w:pPr>
            <m:oMath>
              <m:r>
                <m:t>S</m:t>
              </m:r>
            </m:oMath>
          </w:p>
        </w:tc>
        <w:tc>
          <w:tcPr>
            <w:tcW w:type="dxa" w:w="3182"/>
            <w:shd w:fill="FFFFFF" w:val="clear"/>
          </w:tcPr>
          <w:p>
            <w:pPr>
              <w:pStyle w:val="Compact"/>
              <w:spacing w:after="60"/>
            </w:pPr>
            <w:r>
              <w:rPr>
                <w:rFonts w:ascii="Times New Roman" w:hAnsi="Times New Roman" w:eastAsia="Times New Roman"/>
                <w:sz w:val="18"/>
              </w:rPr>
              <w:t xml:space="preserve">Boundary-qualified candidate system</w:t>
            </w:r>
          </w:p>
        </w:tc>
        <w:tc>
          <w:tcPr>
            <w:tcW w:type="dxa" w:w="4399"/>
            <w:shd w:fill="FFFFFF" w:val="clear"/>
          </w:tcPr>
          <w:p>
            <w:pPr>
              <w:pStyle w:val="Compact"/>
              <w:spacing w:after="60"/>
            </w:pPr>
            <w:r>
              <w:rPr>
                <w:rFonts w:ascii="Times New Roman" w:hAnsi="Times New Roman" w:eastAsia="Times New Roman"/>
                <w:sz w:val="18"/>
              </w:rPr>
              <w:t xml:space="preserve">Must be frozen before availability measurement.</w:t>
            </w:r>
          </w:p>
        </w:tc>
      </w:tr>
      <w:tr>
        <w:trPr>
          <w:cantSplit/>
        </w:trPr>
        <w:tc>
          <w:tcPr>
            <w:tcW w:type="dxa" w:w="1778"/>
            <w:shd w:fill="EAF1F6" w:val="clear"/>
          </w:tcPr>
          <w:p>
            <w:pPr>
              <w:pStyle w:val="Compact"/>
              <w:spacing w:after="60"/>
            </w:pPr>
            <m:oMath>
              <m:r>
                <m:t>c</m:t>
              </m:r>
              <m:r>
                <m:rPr>
                  <m:sty m:val="p"/>
                </m:rPr>
                <m:t>,</m:t>
              </m:r>
              <m:sSub>
                <m:e>
                  <m:r>
                    <m:t>c</m:t>
                  </m:r>
                </m:e>
                <m:sub>
                  <m:r>
                    <m:t>0</m:t>
                  </m:r>
                </m:sub>
              </m:sSub>
            </m:oMath>
          </w:p>
        </w:tc>
        <w:tc>
          <w:tcPr>
            <w:tcW w:type="dxa" w:w="3182"/>
            <w:shd w:fill="EAF1F6" w:val="clear"/>
          </w:tcPr>
          <w:p>
            <w:pPr>
              <w:pStyle w:val="Compact"/>
              <w:spacing w:after="60"/>
            </w:pPr>
            <w:r>
              <w:rPr>
                <w:rFonts w:ascii="Times New Roman" w:hAnsi="Times New Roman" w:eastAsia="Times New Roman"/>
                <w:sz w:val="18"/>
              </w:rPr>
              <w:t xml:space="preserve">Target content and matched control content</w:t>
            </w:r>
          </w:p>
        </w:tc>
        <w:tc>
          <w:tcPr>
            <w:tcW w:type="dxa" w:w="4399"/>
            <w:shd w:fill="EAF1F6" w:val="clear"/>
          </w:tcPr>
          <w:p>
            <w:pPr>
              <w:pStyle w:val="Compact"/>
              <w:spacing w:after="60"/>
            </w:pPr>
            <w:r>
              <w:rPr>
                <w:rFonts w:ascii="Times New Roman" w:hAnsi="Times New Roman" w:eastAsia="Times New Roman"/>
                <w:sz w:val="18"/>
              </w:rPr>
              <w:t xml:space="preserve">Must not differ only in report demand or stimulation energy.</w:t>
            </w:r>
          </w:p>
        </w:tc>
      </w:tr>
      <w:tr>
        <w:trPr>
          <w:cantSplit/>
        </w:trPr>
        <w:tc>
          <w:tcPr>
            <w:tcW w:type="dxa" w:w="1778"/>
            <w:shd w:fill="FFFFFF" w:val="clear"/>
          </w:tcPr>
          <w:p>
            <w:pPr>
              <w:pStyle w:val="Compact"/>
              <w:spacing w:after="60"/>
            </w:pPr>
            <m:oMath>
              <m:sSub>
                <m:e>
                  <m:r>
                    <m:rPr>
                      <m:sty m:val="p"/>
                    </m:rPr>
                    <m:t>Θ</m:t>
                  </m:r>
                </m:e>
                <m:sub>
                  <m:r>
                    <m:t>A</m:t>
                  </m:r>
                </m:sub>
              </m:sSub>
            </m:oMath>
          </w:p>
        </w:tc>
        <w:tc>
          <w:tcPr>
            <w:tcW w:type="dxa" w:w="3182"/>
            <w:shd w:fill="FFFFFF" w:val="clear"/>
          </w:tcPr>
          <w:p>
            <w:pPr>
              <w:pStyle w:val="Compact"/>
              <w:spacing w:after="60"/>
            </w:pPr>
            <w:r>
              <w:rPr>
                <w:rFonts w:ascii="Times New Roman" w:hAnsi="Times New Roman" w:eastAsia="Times New Roman"/>
                <w:sz w:val="18"/>
              </w:rPr>
              <w:t xml:space="preserve">Complete availability specification</w:t>
            </w:r>
          </w:p>
        </w:tc>
        <w:tc>
          <w:tcPr>
            <w:tcW w:type="dxa" w:w="4399"/>
            <w:shd w:fill="FFFFFF" w:val="clear"/>
          </w:tcPr>
          <w:p>
            <w:pPr>
              <w:pStyle w:val="Compact"/>
              <w:spacing w:after="60"/>
            </w:pPr>
            <w:r>
              <w:rPr>
                <w:rFonts w:ascii="Times New Roman" w:hAnsi="Times New Roman" w:eastAsia="Times New Roman"/>
                <w:sz w:val="18"/>
              </w:rPr>
              <w:t xml:space="preserve">No post-result choice of boundary, classes, contexts, or thresholds.</w:t>
            </w:r>
          </w:p>
        </w:tc>
      </w:tr>
      <w:tr>
        <w:trPr>
          <w:cantSplit/>
        </w:trPr>
        <w:tc>
          <w:tcPr>
            <w:tcW w:type="dxa" w:w="1778"/>
            <w:shd w:fill="EAF1F6" w:val="clear"/>
          </w:tcPr>
          <w:p>
            <w:pPr>
              <w:pStyle w:val="Compact"/>
              <w:spacing w:after="60"/>
            </w:pPr>
            <m:oMath>
              <m:r>
                <m:rPr>
                  <m:scr m:val="script"/>
                  <m:sty m:val="p"/>
                </m:rPr>
                <m:t>M</m:t>
              </m:r>
            </m:oMath>
          </w:p>
        </w:tc>
        <w:tc>
          <w:tcPr>
            <w:tcW w:type="dxa" w:w="3182"/>
            <w:shd w:fill="EAF1F6" w:val="clear"/>
          </w:tcPr>
          <w:p>
            <w:pPr>
              <w:pStyle w:val="Compact"/>
              <w:spacing w:after="60"/>
            </w:pPr>
            <w:r>
              <w:rPr>
                <w:rFonts w:ascii="Times New Roman" w:hAnsi="Times New Roman" w:eastAsia="Times New Roman"/>
                <w:sz w:val="18"/>
              </w:rPr>
              <w:t xml:space="preserve">Independently individuated recipient-class family</w:t>
            </w:r>
          </w:p>
        </w:tc>
        <w:tc>
          <w:tcPr>
            <w:tcW w:type="dxa" w:w="4399"/>
            <w:shd w:fill="EAF1F6" w:val="clear"/>
          </w:tcPr>
          <w:p>
            <w:pPr>
              <w:pStyle w:val="Compact"/>
              <w:spacing w:after="60"/>
            </w:pPr>
            <w:r>
              <w:rPr>
                <w:rFonts w:ascii="Times New Roman" w:hAnsi="Times New Roman" w:eastAsia="Times New Roman"/>
                <w:sz w:val="18"/>
              </w:rPr>
              <w:t xml:space="preserve">Classes are based on causal repertoires, not labels or parcel count.</w:t>
            </w:r>
          </w:p>
        </w:tc>
      </w:tr>
      <w:tr>
        <w:trPr>
          <w:cantSplit/>
        </w:trPr>
        <w:tc>
          <w:tcPr>
            <w:tcW w:type="dxa" w:w="1778"/>
            <w:shd w:fill="FFFFFF" w:val="clear"/>
          </w:tcPr>
          <w:p>
            <w:pPr>
              <w:pStyle w:val="Compact"/>
              <w:spacing w:after="60"/>
            </w:pPr>
            <m:oMath>
              <m:sSubSup>
                <m:e>
                  <m:r>
                    <m:rPr>
                      <m:scr m:val="script"/>
                      <m:sty m:val="p"/>
                    </m:rPr>
                    <m:t>U</m:t>
                  </m:r>
                </m:e>
                <m:sub>
                  <m:r>
                    <m:t>k</m:t>
                  </m:r>
                </m:sub>
                <m:sup>
                  <m:r>
                    <m:t>γ</m:t>
                  </m:r>
                </m:sup>
              </m:sSubSup>
            </m:oMath>
          </w:p>
        </w:tc>
        <w:tc>
          <w:tcPr>
            <w:tcW w:type="dxa" w:w="3182"/>
            <w:shd w:fill="FFFFFF" w:val="clear"/>
          </w:tcPr>
          <w:p>
            <w:pPr>
              <w:pStyle w:val="Compact"/>
              <w:spacing w:after="60"/>
            </w:pPr>
            <w:r>
              <w:rPr>
                <w:rFonts w:ascii="Times New Roman" w:hAnsi="Times New Roman" w:eastAsia="Times New Roman"/>
                <w:sz w:val="18"/>
              </w:rPr>
              <w:t xml:space="preserve">Burden-bounded admissible contexts for class</w:t>
            </w:r>
            <w:r>
              <w:rPr>
                <w:rFonts w:ascii="Times New Roman" w:hAnsi="Times New Roman" w:eastAsia="Times New Roman"/>
                <w:sz w:val="18"/>
              </w:rPr>
              <w:t xml:space="preserve"> </w:t>
            </w:r>
            <m:oMath>
              <m:r>
                <m:t>k</m:t>
              </m:r>
            </m:oMath>
          </w:p>
        </w:tc>
        <w:tc>
          <w:tcPr>
            <w:tcW w:type="dxa" w:w="4399"/>
            <w:shd w:fill="FFFFFF" w:val="clear"/>
          </w:tcPr>
          <w:p>
            <w:pPr>
              <w:pStyle w:val="Compact"/>
              <w:spacing w:after="60"/>
            </w:pPr>
            <w:r>
              <w:rPr>
                <w:rFonts w:ascii="Times New Roman" w:hAnsi="Times New Roman" w:eastAsia="Times New Roman"/>
                <w:sz w:val="18"/>
              </w:rPr>
              <w:t xml:space="preserve">Cannot install new routing machinery or change the operating regime.</w:t>
            </w:r>
          </w:p>
        </w:tc>
      </w:tr>
      <w:tr>
        <w:trPr>
          <w:cantSplit/>
        </w:trPr>
        <w:tc>
          <w:tcPr>
            <w:tcW w:type="dxa" w:w="1778"/>
            <w:shd w:fill="EAF1F6" w:val="clear"/>
          </w:tcPr>
          <w:p>
            <w:pPr>
              <w:pStyle w:val="Compact"/>
              <w:spacing w:after="60"/>
            </w:pPr>
            <m:oMath>
              <m:r>
                <m:rPr>
                  <m:sty m:val="p"/>
                </m:rPr>
                <m:t>Γ</m:t>
              </m:r>
              <m:r>
                <m:rPr>
                  <m:sty m:val="p"/>
                </m:rPr>
                <m:t>,</m:t>
              </m:r>
              <m:r>
                <m:t>γ</m:t>
              </m:r>
            </m:oMath>
          </w:p>
        </w:tc>
        <w:tc>
          <w:tcPr>
            <w:tcW w:type="dxa" w:w="3182"/>
            <w:shd w:fill="EAF1F6" w:val="clear"/>
          </w:tcPr>
          <w:p>
            <w:pPr>
              <w:pStyle w:val="Compact"/>
              <w:spacing w:after="60"/>
            </w:pPr>
            <w:r>
              <w:rPr>
                <w:rFonts w:ascii="Times New Roman" w:hAnsi="Times New Roman" w:eastAsia="Times New Roman"/>
                <w:sz w:val="18"/>
              </w:rPr>
              <w:t xml:space="preserve">Context-preparation burden and its maximum</w:t>
            </w:r>
          </w:p>
        </w:tc>
        <w:tc>
          <w:tcPr>
            <w:tcW w:type="dxa" w:w="4399"/>
            <w:shd w:fill="EAF1F6" w:val="clear"/>
          </w:tcPr>
          <w:p>
            <w:pPr>
              <w:pStyle w:val="Compact"/>
              <w:spacing w:after="60"/>
            </w:pPr>
            <w:r>
              <w:rPr>
                <w:rFonts w:ascii="Times New Roman" w:hAnsi="Times New Roman" w:eastAsia="Times New Roman"/>
                <w:sz w:val="18"/>
              </w:rPr>
              <w:t xml:space="preserve">Time, training, energy, control, and structural change are declared before testing.</w:t>
            </w:r>
          </w:p>
        </w:tc>
      </w:tr>
      <w:tr>
        <w:trPr>
          <w:cantSplit/>
        </w:trPr>
        <w:tc>
          <w:tcPr>
            <w:tcW w:type="dxa" w:w="1778"/>
            <w:shd w:fill="FFFFFF" w:val="clear"/>
          </w:tcPr>
          <w:p>
            <w:pPr>
              <w:pStyle w:val="Compact"/>
              <w:spacing w:after="60"/>
            </w:pPr>
            <m:oMath>
              <m:sSub>
                <m:e>
                  <m:r>
                    <m:t>ν</m:t>
                  </m:r>
                </m:e>
                <m:sub>
                  <m:r>
                    <m:t>k</m:t>
                  </m:r>
                </m:sub>
              </m:sSub>
              <m:r>
                <m:rPr>
                  <m:sty m:val="p"/>
                </m:rPr>
                <m:t>,</m:t>
              </m:r>
              <m:sSub>
                <m:e>
                  <m:r>
                    <m:t>ρ</m:t>
                  </m:r>
                </m:e>
                <m:sub>
                  <m:r>
                    <m:t>U</m:t>
                  </m:r>
                </m:sub>
              </m:sSub>
            </m:oMath>
          </w:p>
        </w:tc>
        <w:tc>
          <w:tcPr>
            <w:tcW w:type="dxa" w:w="3182"/>
            <w:shd w:fill="FFFFFF" w:val="clear"/>
          </w:tcPr>
          <w:p>
            <w:pPr>
              <w:pStyle w:val="Compact"/>
              <w:spacing w:after="60"/>
            </w:pPr>
            <w:r>
              <w:rPr>
                <w:rFonts w:ascii="Times New Roman" w:hAnsi="Times New Roman" w:eastAsia="Times New Roman"/>
                <w:sz w:val="18"/>
              </w:rPr>
              <w:t xml:space="preserve">Context weights and minimum robust context mass</w:t>
            </w:r>
          </w:p>
        </w:tc>
        <w:tc>
          <w:tcPr>
            <w:tcW w:type="dxa" w:w="4399"/>
            <w:shd w:fill="FFFFFF" w:val="clear"/>
          </w:tcPr>
          <w:p>
            <w:pPr>
              <w:pStyle w:val="Compact"/>
              <w:spacing w:after="60"/>
            </w:pPr>
            <w:r>
              <w:rPr>
                <w:rFonts w:ascii="Times New Roman" w:hAnsi="Times New Roman" w:eastAsia="Times New Roman"/>
                <w:sz w:val="18"/>
              </w:rPr>
              <w:t xml:space="preserve">Prevent a single favorable setup from carrying the result.</w:t>
            </w:r>
          </w:p>
        </w:tc>
      </w:tr>
      <w:tr>
        <w:trPr>
          <w:cantSplit/>
        </w:trPr>
        <w:tc>
          <w:tcPr>
            <w:tcW w:type="dxa" w:w="1778"/>
            <w:shd w:fill="EAF1F6" w:val="clear"/>
          </w:tcPr>
          <w:p>
            <w:pPr>
              <w:pStyle w:val="Compact"/>
              <w:spacing w:after="60"/>
            </w:pPr>
            <m:oMath>
              <m:sSub>
                <m:e>
                  <m:r>
                    <m:t>E</m:t>
                  </m:r>
                </m:e>
                <m:sub>
                  <m:r>
                    <m:t>k</m:t>
                  </m:r>
                  <m:r>
                    <m:rPr>
                      <m:sty m:val="p"/>
                    </m:rPr>
                    <m:t>,</m:t>
                  </m:r>
                  <m:r>
                    <m:t>u</m:t>
                  </m:r>
                </m:sub>
              </m:sSub>
            </m:oMath>
          </w:p>
        </w:tc>
        <w:tc>
          <w:tcPr>
            <w:tcW w:type="dxa" w:w="3182"/>
            <w:shd w:fill="EAF1F6" w:val="clear"/>
          </w:tcPr>
          <w:p>
            <w:pPr>
              <w:pStyle w:val="Compact"/>
              <w:spacing w:after="60"/>
            </w:pPr>
            <w:r>
              <w:rPr>
                <w:rFonts w:ascii="Times New Roman" w:hAnsi="Times New Roman" w:eastAsia="Times New Roman"/>
                <w:sz w:val="18"/>
              </w:rPr>
              <w:t xml:space="preserve">Content-specific causal effect on recipient class</w:t>
            </w:r>
            <w:r>
              <w:rPr>
                <w:rFonts w:ascii="Times New Roman" w:hAnsi="Times New Roman" w:eastAsia="Times New Roman"/>
                <w:sz w:val="18"/>
              </w:rPr>
              <w:t xml:space="preserve"> </w:t>
            </w:r>
            <m:oMath>
              <m:r>
                <m:t>k</m:t>
              </m:r>
            </m:oMath>
          </w:p>
        </w:tc>
        <w:tc>
          <w:tcPr>
            <w:tcW w:type="dxa" w:w="4399"/>
            <w:shd w:fill="EAF1F6" w:val="clear"/>
          </w:tcPr>
          <w:p>
            <w:pPr>
              <w:pStyle w:val="Compact"/>
              <w:spacing w:after="60"/>
            </w:pPr>
            <w:r>
              <w:rPr>
                <w:rFonts w:ascii="Times New Roman" w:hAnsi="Times New Roman" w:eastAsia="Times New Roman"/>
                <w:sz w:val="18"/>
              </w:rPr>
              <w:t xml:space="preserve">Internal modulation is sufficient; behavior is not required.</w:t>
            </w:r>
          </w:p>
        </w:tc>
      </w:tr>
      <w:tr>
        <w:trPr>
          <w:cantSplit/>
        </w:trPr>
        <w:tc>
          <w:tcPr>
            <w:tcW w:type="dxa" w:w="1778"/>
            <w:shd w:fill="FFFFFF" w:val="clear"/>
          </w:tcPr>
          <w:p>
            <w:pPr>
              <w:pStyle w:val="Compact"/>
              <w:spacing w:after="60"/>
            </w:pPr>
            <m:oMath>
              <m:sSub>
                <m:e>
                  <m:r>
                    <m:t>L</m:t>
                  </m:r>
                </m:e>
                <m:sub>
                  <m:r>
                    <m:t>k</m:t>
                  </m:r>
                </m:sub>
              </m:sSub>
            </m:oMath>
          </w:p>
        </w:tc>
        <w:tc>
          <w:tcPr>
            <w:tcW w:type="dxa" w:w="3182"/>
            <w:shd w:fill="FFFFFF" w:val="clear"/>
          </w:tcPr>
          <w:p>
            <w:pPr>
              <w:pStyle w:val="Compact"/>
              <w:spacing w:after="60"/>
            </w:pPr>
            <w:r>
              <w:rPr>
                <w:rFonts w:ascii="Times New Roman" w:hAnsi="Times New Roman" w:eastAsia="Times New Roman"/>
                <w:sz w:val="18"/>
              </w:rPr>
              <w:t xml:space="preserve">Earliest qualifying recipient latency</w:t>
            </w:r>
          </w:p>
        </w:tc>
        <w:tc>
          <w:tcPr>
            <w:tcW w:type="dxa" w:w="4399"/>
            <w:shd w:fill="FFFFFF" w:val="clear"/>
          </w:tcPr>
          <w:p>
            <w:pPr>
              <w:pStyle w:val="Compact"/>
              <w:spacing w:after="60"/>
            </w:pPr>
            <w:r>
              <w:rPr>
                <w:rFonts w:ascii="Times New Roman" w:hAnsi="Times New Roman" w:eastAsia="Times New Roman"/>
                <w:sz w:val="18"/>
              </w:rPr>
              <w:t xml:space="preserve">Measured from content intervention, not report cue.</w:t>
            </w:r>
          </w:p>
        </w:tc>
      </w:tr>
      <w:tr>
        <w:trPr>
          <w:cantSplit/>
        </w:trPr>
        <w:tc>
          <w:tcPr>
            <w:tcW w:type="dxa" w:w="1778"/>
            <w:shd w:fill="EAF1F6" w:val="clear"/>
          </w:tcPr>
          <w:p>
            <w:pPr>
              <w:pStyle w:val="Compact"/>
              <w:spacing w:after="60"/>
            </w:pPr>
            <m:oMath>
              <m:sSub>
                <m:e>
                  <m:r>
                    <m:rPr>
                      <m:sty m:val="p"/>
                    </m:rPr>
                    <m:t>Sel</m:t>
                  </m:r>
                </m:e>
                <m:sub>
                  <m:r>
                    <m:t>k</m:t>
                  </m:r>
                </m:sub>
              </m:sSub>
            </m:oMath>
          </w:p>
        </w:tc>
        <w:tc>
          <w:tcPr>
            <w:tcW w:type="dxa" w:w="3182"/>
            <w:shd w:fill="EAF1F6" w:val="clear"/>
          </w:tcPr>
          <w:p>
            <w:pPr>
              <w:pStyle w:val="Compact"/>
              <w:spacing w:after="60"/>
            </w:pPr>
            <w:r>
              <w:rPr>
                <w:rFonts w:ascii="Times New Roman" w:hAnsi="Times New Roman" w:eastAsia="Times New Roman"/>
                <w:sz w:val="18"/>
              </w:rPr>
              <w:t xml:space="preserve">Effect beyond matched null interventions</w:t>
            </w:r>
          </w:p>
        </w:tc>
        <w:tc>
          <w:tcPr>
            <w:tcW w:type="dxa" w:w="4399"/>
            <w:shd w:fill="EAF1F6" w:val="clear"/>
          </w:tcPr>
          <w:p>
            <w:pPr>
              <w:pStyle w:val="Compact"/>
              <w:spacing w:after="60"/>
            </w:pPr>
            <w:r>
              <w:rPr>
                <w:rFonts w:ascii="Times New Roman" w:hAnsi="Times New Roman" w:eastAsia="Times New Roman"/>
                <w:sz w:val="18"/>
              </w:rPr>
              <w:t xml:space="preserve">Blocks energy spread and common drive.</w:t>
            </w:r>
          </w:p>
        </w:tc>
      </w:tr>
      <w:tr>
        <w:trPr>
          <w:cantSplit/>
        </w:trPr>
        <w:tc>
          <w:tcPr>
            <w:tcW w:type="dxa" w:w="1778"/>
            <w:shd w:fill="FFFFFF" w:val="clear"/>
          </w:tcPr>
          <w:p>
            <w:pPr>
              <w:pStyle w:val="Compact"/>
              <w:spacing w:after="60"/>
            </w:pPr>
            <m:oMath>
              <m:sSub>
                <m:e>
                  <m:r>
                    <m:rPr>
                      <m:sty m:val="p"/>
                    </m:rPr>
                    <m:t>Route</m:t>
                  </m:r>
                </m:e>
                <m:sub>
                  <m:r>
                    <m:t>k</m:t>
                  </m:r>
                </m:sub>
              </m:sSub>
            </m:oMath>
          </w:p>
        </w:tc>
        <w:tc>
          <w:tcPr>
            <w:tcW w:type="dxa" w:w="3182"/>
            <w:shd w:fill="FFFFFF" w:val="clear"/>
          </w:tcPr>
          <w:p>
            <w:pPr>
              <w:pStyle w:val="Compact"/>
              <w:spacing w:after="60"/>
            </w:pPr>
            <w:r>
              <w:rPr>
                <w:rFonts w:ascii="Times New Roman" w:hAnsi="Times New Roman" w:eastAsia="Times New Roman"/>
                <w:sz w:val="18"/>
              </w:rPr>
              <w:t xml:space="preserve">Effect lost under matched route interruption</w:t>
            </w:r>
          </w:p>
        </w:tc>
        <w:tc>
          <w:tcPr>
            <w:tcW w:type="dxa" w:w="4399"/>
            <w:shd w:fill="FFFFFF" w:val="clear"/>
          </w:tcPr>
          <w:p>
            <w:pPr>
              <w:pStyle w:val="Compact"/>
              <w:spacing w:after="60"/>
            </w:pPr>
            <w:r>
              <w:rPr>
                <w:rFonts w:ascii="Times New Roman" w:hAnsi="Times New Roman" w:eastAsia="Times New Roman"/>
                <w:sz w:val="18"/>
              </w:rPr>
              <w:t xml:space="preserve">Requires adequate coverage of redundant routes.</w:t>
            </w:r>
          </w:p>
        </w:tc>
      </w:tr>
      <w:tr>
        <w:trPr>
          <w:cantSplit/>
        </w:trPr>
        <w:tc>
          <w:tcPr>
            <w:tcW w:type="dxa" w:w="1778"/>
            <w:shd w:fill="EAF1F6" w:val="clear"/>
          </w:tcPr>
          <w:p>
            <w:pPr>
              <w:pStyle w:val="Compact"/>
              <w:spacing w:after="60"/>
            </w:pPr>
            <m:oMath>
              <m:sSup>
                <m:e>
                  <m:r>
                    <m:t>G</m:t>
                  </m:r>
                </m:e>
                <m:sup>
                  <m:r>
                    <m:t>E</m:t>
                  </m:r>
                </m:sup>
              </m:sSup>
              <m:r>
                <m:rPr>
                  <m:sty m:val="p"/>
                </m:rPr>
                <m:t>,</m:t>
              </m:r>
              <m:sSup>
                <m:e>
                  <m:r>
                    <m:t>G</m:t>
                  </m:r>
                </m:e>
                <m:sup>
                  <m:r>
                    <m:t>L</m:t>
                  </m:r>
                </m:sup>
              </m:sSup>
              <m:r>
                <m:rPr>
                  <m:sty m:val="p"/>
                </m:rPr>
                <m:t>,</m:t>
              </m:r>
              <m:sSup>
                <m:e>
                  <m:r>
                    <m:t>G</m:t>
                  </m:r>
                </m:e>
                <m:sup>
                  <m:r>
                    <m:t>S</m:t>
                  </m:r>
                </m:sup>
              </m:sSup>
              <m:r>
                <m:rPr>
                  <m:sty m:val="p"/>
                </m:rPr>
                <m:t>,</m:t>
              </m:r>
              <m:sSup>
                <m:e>
                  <m:r>
                    <m:t>G</m:t>
                  </m:r>
                </m:e>
                <m:sup>
                  <m:r>
                    <m:t>R</m:t>
                  </m:r>
                </m:sup>
              </m:sSup>
            </m:oMath>
          </w:p>
        </w:tc>
        <w:tc>
          <w:tcPr>
            <w:tcW w:type="dxa" w:w="3182"/>
            <w:shd w:fill="EAF1F6" w:val="clear"/>
          </w:tcPr>
          <w:p>
            <w:pPr>
              <w:pStyle w:val="Compact"/>
              <w:spacing w:after="60"/>
            </w:pPr>
            <w:r>
              <w:rPr>
                <w:rFonts w:ascii="Times New Roman" w:hAnsi="Times New Roman" w:eastAsia="Times New Roman"/>
                <w:sz w:val="18"/>
              </w:rPr>
              <w:t xml:space="preserve">Context-level effect, latency, selectivity, and route gates</w:t>
            </w:r>
          </w:p>
        </w:tc>
        <w:tc>
          <w:tcPr>
            <w:tcW w:type="dxa" w:w="4399"/>
            <w:shd w:fill="EAF1F6" w:val="clear"/>
          </w:tcPr>
          <w:p>
            <w:pPr>
              <w:pStyle w:val="Compact"/>
              <w:spacing w:after="60"/>
            </w:pPr>
            <w:r>
              <w:rPr>
                <w:rFonts w:ascii="Times New Roman" w:hAnsi="Times New Roman" w:eastAsia="Times New Roman"/>
                <w:sz w:val="18"/>
              </w:rPr>
              <w:t xml:space="preserve">Their product requires all four properties in the same context.</w:t>
            </w:r>
          </w:p>
        </w:tc>
      </w:tr>
      <w:tr>
        <w:trPr>
          <w:cantSplit/>
        </w:trPr>
        <w:tc>
          <w:tcPr>
            <w:tcW w:type="dxa" w:w="1778"/>
            <w:shd w:fill="FFFFFF" w:val="clear"/>
          </w:tcPr>
          <w:p>
            <w:pPr>
              <w:pStyle w:val="Compact"/>
              <w:spacing w:after="60"/>
            </w:pPr>
            <m:oMath>
              <m:sSub>
                <m:e>
                  <m:r>
                    <m:t>R</m:t>
                  </m:r>
                </m:e>
                <m:sub>
                  <m:r>
                    <m:t>U</m:t>
                  </m:r>
                  <m:r>
                    <m:rPr>
                      <m:sty m:val="p"/>
                    </m:rPr>
                    <m:t>,</m:t>
                  </m:r>
                  <m:r>
                    <m:t>k</m:t>
                  </m:r>
                </m:sub>
              </m:sSub>
            </m:oMath>
          </w:p>
        </w:tc>
        <w:tc>
          <w:tcPr>
            <w:tcW w:type="dxa" w:w="3182"/>
            <w:shd w:fill="FFFFFF" w:val="clear"/>
          </w:tcPr>
          <w:p>
            <w:pPr>
              <w:pStyle w:val="Compact"/>
              <w:spacing w:after="60"/>
            </w:pPr>
            <w:r>
              <w:rPr>
                <w:rFonts w:ascii="Times New Roman" w:hAnsi="Times New Roman" w:eastAsia="Times New Roman"/>
                <w:sz w:val="18"/>
              </w:rPr>
              <w:t xml:space="preserve">Context robustness for recipient</w:t>
            </w:r>
            <w:r>
              <w:rPr>
                <w:rFonts w:ascii="Times New Roman" w:hAnsi="Times New Roman" w:eastAsia="Times New Roman"/>
                <w:sz w:val="18"/>
              </w:rPr>
              <w:t xml:space="preserve"> </w:t>
            </w:r>
            <m:oMath>
              <m:r>
                <m:t>k</m:t>
              </m:r>
            </m:oMath>
          </w:p>
        </w:tc>
        <w:tc>
          <w:tcPr>
            <w:tcW w:type="dxa" w:w="4399"/>
            <w:shd w:fill="FFFFFF" w:val="clear"/>
          </w:tcPr>
          <w:p>
            <w:pPr>
              <w:pStyle w:val="Compact"/>
              <w:spacing w:after="60"/>
            </w:pPr>
            <w:r>
              <w:rPr>
                <w:rFonts w:ascii="Times New Roman" w:hAnsi="Times New Roman" w:eastAsia="Times New Roman"/>
                <w:sz w:val="18"/>
              </w:rPr>
              <w:t xml:space="preserve">Uses frozen context weights; outcome-selected contexts are prohibited.</w:t>
            </w:r>
          </w:p>
        </w:tc>
      </w:tr>
      <w:tr>
        <w:trPr>
          <w:cantSplit/>
        </w:trPr>
        <w:tc>
          <w:tcPr>
            <w:tcW w:type="dxa" w:w="1778"/>
            <w:shd w:fill="EAF1F6" w:val="clear"/>
          </w:tcPr>
          <w:p>
            <w:pPr>
              <w:pStyle w:val="Compact"/>
              <w:spacing w:after="60"/>
            </w:pPr>
            <m:oMath>
              <m:sSub>
                <m:e>
                  <m:r>
                    <m:t>a</m:t>
                  </m:r>
                </m:e>
                <m:sub>
                  <m:r>
                    <m:t>k</m:t>
                  </m:r>
                </m:sub>
              </m:sSub>
            </m:oMath>
          </w:p>
        </w:tc>
        <w:tc>
          <w:tcPr>
            <w:tcW w:type="dxa" w:w="3182"/>
            <w:shd w:fill="EAF1F6" w:val="clear"/>
          </w:tcPr>
          <w:p>
            <w:pPr>
              <w:pStyle w:val="Compact"/>
              <w:spacing w:after="60"/>
            </w:pPr>
            <w:r>
              <w:rPr>
                <w:rFonts w:ascii="Times New Roman" w:hAnsi="Times New Roman" w:eastAsia="Times New Roman"/>
                <w:sz w:val="18"/>
              </w:rPr>
              <w:t xml:space="preserve">Recipient qualification indicator</w:t>
            </w:r>
          </w:p>
        </w:tc>
        <w:tc>
          <w:tcPr>
            <w:tcW w:type="dxa" w:w="4399"/>
            <w:shd w:fill="EAF1F6" w:val="clear"/>
          </w:tcPr>
          <w:p>
            <w:pPr>
              <w:pStyle w:val="Compact"/>
              <w:spacing w:after="60"/>
            </w:pPr>
            <w:r>
              <w:rPr>
                <w:rFonts w:ascii="Times New Roman" w:hAnsi="Times New Roman" w:eastAsia="Times New Roman"/>
                <w:sz w:val="18"/>
              </w:rPr>
              <w:t xml:space="preserve">Effect, latency, selectivity, route, and context-robustness gates all apply.</w:t>
            </w:r>
          </w:p>
        </w:tc>
      </w:tr>
      <w:tr>
        <w:trPr>
          <w:cantSplit/>
        </w:trPr>
        <w:tc>
          <w:tcPr>
            <w:tcW w:type="dxa" w:w="1778"/>
            <w:shd w:fill="FFFFFF" w:val="clear"/>
          </w:tcPr>
          <w:p>
            <w:pPr>
              <w:pStyle w:val="Compact"/>
              <w:spacing w:after="60"/>
            </w:pPr>
            <m:oMath>
              <m:sSub>
                <m:e>
                  <m:r>
                    <m:t>C</m:t>
                  </m:r>
                </m:e>
                <m:sub>
                  <m:r>
                    <m:t>A</m:t>
                  </m:r>
                </m:sub>
              </m:sSub>
            </m:oMath>
          </w:p>
        </w:tc>
        <w:tc>
          <w:tcPr>
            <w:tcW w:type="dxa" w:w="3182"/>
            <w:shd w:fill="FFFFFF" w:val="clear"/>
          </w:tcPr>
          <w:p>
            <w:pPr>
              <w:pStyle w:val="Compact"/>
              <w:spacing w:after="60"/>
            </w:pPr>
            <w:r>
              <w:rPr>
                <w:rFonts w:ascii="Times New Roman" w:hAnsi="Times New Roman" w:eastAsia="Times New Roman"/>
                <w:sz w:val="18"/>
              </w:rPr>
              <w:t xml:space="preserve">Weighted functional-class coverage</w:t>
            </w:r>
          </w:p>
        </w:tc>
        <w:tc>
          <w:tcPr>
            <w:tcW w:type="dxa" w:w="4399"/>
            <w:shd w:fill="FFFFFF" w:val="clear"/>
          </w:tcPr>
          <w:p>
            <w:pPr>
              <w:pStyle w:val="Compact"/>
              <w:spacing w:after="60"/>
            </w:pPr>
            <w:r>
              <w:rPr>
                <w:rFonts w:ascii="Times New Roman" w:hAnsi="Times New Roman" w:eastAsia="Times New Roman"/>
                <w:sz w:val="18"/>
              </w:rPr>
              <w:t xml:space="preserve">Weights cannot reward sheer node count.</w:t>
            </w:r>
          </w:p>
        </w:tc>
      </w:tr>
      <w:tr>
        <w:trPr>
          <w:cantSplit/>
        </w:trPr>
        <w:tc>
          <w:tcPr>
            <w:tcW w:type="dxa" w:w="1778"/>
            <w:shd w:fill="EAF1F6" w:val="clear"/>
          </w:tcPr>
          <w:p>
            <w:pPr>
              <w:pStyle w:val="Compact"/>
              <w:spacing w:after="60"/>
            </w:pPr>
            <m:oMath>
              <m:sSub>
                <m:e>
                  <m:r>
                    <m:t>K</m:t>
                  </m:r>
                </m:e>
                <m:sub>
                  <m:r>
                    <m:t>A</m:t>
                  </m:r>
                </m:sub>
              </m:sSub>
            </m:oMath>
          </w:p>
        </w:tc>
        <w:tc>
          <w:tcPr>
            <w:tcW w:type="dxa" w:w="3182"/>
            <w:shd w:fill="EAF1F6" w:val="clear"/>
          </w:tcPr>
          <w:p>
            <w:pPr>
              <w:pStyle w:val="Compact"/>
              <w:spacing w:after="60"/>
            </w:pPr>
            <w:r>
              <w:rPr>
                <w:rFonts w:ascii="Times New Roman" w:hAnsi="Times New Roman" w:eastAsia="Times New Roman"/>
                <w:sz w:val="18"/>
              </w:rPr>
              <w:t xml:space="preserve">Number of qualifying recipient classes</w:t>
            </w:r>
          </w:p>
        </w:tc>
        <w:tc>
          <w:tcPr>
            <w:tcW w:type="dxa" w:w="4399"/>
            <w:shd w:fill="EAF1F6" w:val="clear"/>
          </w:tcPr>
          <w:p>
            <w:pPr>
              <w:pStyle w:val="Compact"/>
              <w:spacing w:after="60"/>
            </w:pPr>
            <w:r>
              <w:rPr>
                <w:rFonts w:ascii="Times New Roman" w:hAnsi="Times New Roman" w:eastAsia="Times New Roman"/>
                <w:sz w:val="18"/>
              </w:rPr>
              <w:t xml:space="preserve">Prevents one class from passing alone.</w:t>
            </w:r>
          </w:p>
        </w:tc>
      </w:tr>
      <w:tr>
        <w:trPr>
          <w:cantSplit/>
        </w:trPr>
        <w:tc>
          <w:tcPr>
            <w:tcW w:type="dxa" w:w="1778"/>
            <w:shd w:fill="FFFFFF" w:val="clear"/>
          </w:tcPr>
          <w:p>
            <w:pPr>
              <w:pStyle w:val="Compact"/>
              <w:spacing w:after="60"/>
            </w:pPr>
            <m:oMath>
              <m:sSub>
                <m:e>
                  <m:r>
                    <m:t>H</m:t>
                  </m:r>
                </m:e>
                <m:sub>
                  <m:r>
                    <m:t>A</m:t>
                  </m:r>
                </m:sub>
              </m:sSub>
            </m:oMath>
          </w:p>
        </w:tc>
        <w:tc>
          <w:tcPr>
            <w:tcW w:type="dxa" w:w="3182"/>
            <w:shd w:fill="FFFFFF" w:val="clear"/>
          </w:tcPr>
          <w:p>
            <w:pPr>
              <w:pStyle w:val="Compact"/>
              <w:spacing w:after="60"/>
            </w:pPr>
            <w:r>
              <w:rPr>
                <w:rFonts w:ascii="Times New Roman" w:hAnsi="Times New Roman" w:eastAsia="Times New Roman"/>
                <w:sz w:val="18"/>
              </w:rPr>
              <w:t xml:space="preserve">Evenness of effect across qualifying classes</w:t>
            </w:r>
          </w:p>
        </w:tc>
        <w:tc>
          <w:tcPr>
            <w:tcW w:type="dxa" w:w="4399"/>
            <w:shd w:fill="FFFFFF" w:val="clear"/>
          </w:tcPr>
          <w:p>
            <w:pPr>
              <w:pStyle w:val="Compact"/>
              <w:spacing w:after="60"/>
            </w:pPr>
            <w:r>
              <w:rPr>
                <w:rFonts w:ascii="Times New Roman" w:hAnsi="Times New Roman" w:eastAsia="Times New Roman"/>
                <w:sz w:val="18"/>
              </w:rPr>
              <w:t xml:space="preserve">Prevents token threshold crossings around one dominant recipient.</w:t>
            </w:r>
          </w:p>
        </w:tc>
      </w:tr>
      <w:tr>
        <w:trPr>
          <w:cantSplit/>
        </w:trPr>
        <w:tc>
          <w:tcPr>
            <w:tcW w:type="dxa" w:w="1778"/>
            <w:shd w:fill="EAF1F6" w:val="clear"/>
          </w:tcPr>
          <w:p>
            <w:pPr>
              <w:pStyle w:val="Compact"/>
              <w:spacing w:after="60"/>
            </w:pPr>
            <m:oMath>
              <m:sSubSup>
                <m:e>
                  <m:r>
                    <m:t>N</m:t>
                  </m:r>
                </m:e>
                <m:sub>
                  <m:r>
                    <m:t>2</m:t>
                  </m:r>
                </m:sub>
                <m:sup>
                  <m:r>
                    <m:rPr>
                      <m:sty m:val="p"/>
                    </m:rPr>
                    <m:t>−</m:t>
                  </m:r>
                  <m:r>
                    <m:t>R</m:t>
                  </m:r>
                </m:sup>
              </m:sSubSup>
              <m:r>
                <m:rPr>
                  <m:sty m:val="p"/>
                </m:rPr>
                <m:t>,</m:t>
              </m:r>
              <m:sSubSup>
                <m:e>
                  <m:r>
                    <m:t>N</m:t>
                  </m:r>
                </m:e>
                <m:sub>
                  <m:r>
                    <m:t>2</m:t>
                  </m:r>
                </m:sub>
                <m:sup>
                  <m:r>
                    <m:rPr>
                      <m:sty m:val="p"/>
                    </m:rPr>
                    <m:t>−</m:t>
                  </m:r>
                  <m:r>
                    <m:t>E</m:t>
                  </m:r>
                </m:sup>
              </m:sSubSup>
            </m:oMath>
          </w:p>
        </w:tc>
        <w:tc>
          <w:tcPr>
            <w:tcW w:type="dxa" w:w="3182"/>
            <w:shd w:fill="EAF1F6" w:val="clear"/>
          </w:tcPr>
          <w:p>
            <w:pPr>
              <w:pStyle w:val="Compact"/>
              <w:spacing w:after="60"/>
            </w:pPr>
            <w:r>
              <w:rPr>
                <w:rFonts w:ascii="Times New Roman" w:hAnsi="Times New Roman" w:eastAsia="Times New Roman"/>
                <w:sz w:val="18"/>
              </w:rPr>
              <w:t xml:space="preserve">Nonreport and nonexecutive availability tests</w:t>
            </w:r>
          </w:p>
        </w:tc>
        <w:tc>
          <w:tcPr>
            <w:tcW w:type="dxa" w:w="4399"/>
            <w:shd w:fill="EAF1F6" w:val="clear"/>
          </w:tcPr>
          <w:p>
            <w:pPr>
              <w:pStyle w:val="Compact"/>
              <w:spacing w:after="60"/>
            </w:pPr>
            <w:r>
              <w:rPr>
                <w:rFonts w:ascii="Times New Roman" w:hAnsi="Times New Roman" w:eastAsia="Times New Roman"/>
                <w:sz w:val="18"/>
              </w:rPr>
              <w:t xml:space="preserve">Report and executive uptake are optional evidence, not necessary gates.</w:t>
            </w:r>
          </w:p>
        </w:tc>
      </w:tr>
      <w:tr>
        <w:trPr>
          <w:cantSplit/>
        </w:trPr>
        <w:tc>
          <w:tcPr>
            <w:tcW w:type="dxa" w:w="1778"/>
            <w:shd w:fill="FFFFFF" w:val="clear"/>
          </w:tcPr>
          <w:p>
            <w:pPr>
              <w:pStyle w:val="Compact"/>
              <w:spacing w:after="60"/>
            </w:pPr>
            <m:oMath>
              <m:sSub>
                <m:e>
                  <m:r>
                    <m:t>R</m:t>
                  </m:r>
                </m:e>
                <m:sub>
                  <m:r>
                    <m:t>A</m:t>
                  </m:r>
                </m:sub>
              </m:sSub>
            </m:oMath>
          </w:p>
        </w:tc>
        <w:tc>
          <w:tcPr>
            <w:tcW w:type="dxa" w:w="3182"/>
            <w:shd w:fill="FFFFFF" w:val="clear"/>
          </w:tcPr>
          <w:p>
            <w:pPr>
              <w:pStyle w:val="Compact"/>
              <w:spacing w:after="60"/>
            </w:pPr>
            <w:r>
              <w:rPr>
                <w:rFonts w:ascii="Times New Roman" w:hAnsi="Times New Roman" w:eastAsia="Times New Roman"/>
                <w:sz w:val="18"/>
              </w:rPr>
              <w:t xml:space="preserve">Stability across reasonable specifications</w:t>
            </w:r>
          </w:p>
        </w:tc>
        <w:tc>
          <w:tcPr>
            <w:tcW w:type="dxa" w:w="4399"/>
            <w:shd w:fill="FFFFFF" w:val="clear"/>
          </w:tcPr>
          <w:p>
            <w:pPr>
              <w:pStyle w:val="Compact"/>
              <w:spacing w:after="60"/>
            </w:pPr>
            <w:r>
              <w:rPr>
                <w:rFonts w:ascii="Times New Roman" w:hAnsi="Times New Roman" w:eastAsia="Times New Roman"/>
                <w:sz w:val="18"/>
              </w:rPr>
              <w:t xml:space="preserve">Low stability makes a result fragile or indeterminate.</w:t>
            </w:r>
          </w:p>
        </w:tc>
      </w:tr>
    </w:tbl>
    <w:bookmarkEnd w:id="113"/>
    <w:bookmarkStart w:id="115" w:name="X007fc9b4dce54d350dc0019331846364dc1dd99"/>
    <w:p>
      <w:pPr>
        <w:pStyle w:val="Heading2"/>
        <w:pageBreakBefore/>
      </w:pPr>
      <w:r>
        <w:t xml:space="preserve">Appendix B: Counterfactual availability protocol</w:t>
      </w:r>
    </w:p>
    <w:tbl>
      <w:tblPr>
        <w:tblW w:type="pct" w:w="5000"/>
        <w:jc w:val="center"/>
        <w:tblLayout w:type="fixed"/>
        <w:tblLook w:firstRow="1" w:lastRow="0" w:firstColumn="0" w:lastColumn="0" w:noHBand="0" w:noVBand="0" w:val="0020"/>
      </w:tblPr>
      <w:tblGrid>
        <w:gridCol w:w="1029"/>
        <w:gridCol w:w="2296"/>
        <w:gridCol w:w="1900"/>
        <w:gridCol w:w="2692"/>
      </w:tblGrid>
      <w:tr>
        <w:trPr>
          <w:tblHeader w:val="on"/>
          <w:cantSplit/>
          <w:tblHeader w:val="true"/>
        </w:trPr>
        <w:tc>
          <w:tcPr>
            <w:tcW w:type="dxa" w:w="1217"/>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Stage</w:t>
            </w:r>
          </w:p>
        </w:tc>
        <w:tc>
          <w:tcPr>
            <w:tcW w:type="dxa" w:w="2714"/>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Required action</w:t>
            </w:r>
          </w:p>
        </w:tc>
        <w:tc>
          <w:tcPr>
            <w:tcW w:type="dxa" w:w="2246"/>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Failure output</w:t>
            </w:r>
          </w:p>
        </w:tc>
        <w:tc>
          <w:tcPr>
            <w:tcW w:type="dxa" w:w="3182"/>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Guardrail</w:t>
            </w:r>
          </w:p>
        </w:tc>
      </w:tr>
      <w:tr>
        <w:trPr>
          <w:cantSplit/>
        </w:trPr>
        <w:tc>
          <w:tcPr>
            <w:tcW w:type="dxa" w:w="1217"/>
            <w:shd w:fill="FFFFFF" w:val="clear"/>
          </w:tcPr>
          <w:p>
            <w:pPr>
              <w:pStyle w:val="Compact"/>
              <w:spacing w:after="60"/>
            </w:pPr>
            <w:r>
              <w:rPr>
                <w:rFonts w:ascii="Times New Roman" w:hAnsi="Times New Roman" w:eastAsia="Times New Roman"/>
                <w:sz w:val="18"/>
              </w:rPr>
              <w:t xml:space="preserve">1. Freeze system</w:t>
            </w:r>
          </w:p>
        </w:tc>
        <w:tc>
          <w:tcPr>
            <w:tcW w:type="dxa" w:w="2714"/>
            <w:shd w:fill="FFFFFF" w:val="clear"/>
          </w:tcPr>
          <w:p>
            <w:pPr>
              <w:pStyle w:val="Compact"/>
              <w:spacing w:after="60"/>
            </w:pPr>
            <w:r>
              <w:rPr>
                <w:rFonts w:ascii="Times New Roman" w:hAnsi="Times New Roman" w:eastAsia="Times New Roman"/>
                <w:sz w:val="18"/>
              </w:rPr>
              <w:t xml:space="preserve">Archive</w:t>
            </w:r>
            <w:r>
              <w:rPr>
                <w:rFonts w:ascii="Times New Roman" w:hAnsi="Times New Roman" w:eastAsia="Times New Roman"/>
                <w:sz w:val="18"/>
              </w:rPr>
              <w:t xml:space="preserve"> </w:t>
            </w:r>
            <m:oMath>
              <m:r>
                <m:t>S</m:t>
              </m:r>
              <m:r>
                <m:rPr>
                  <m:sty m:val="p"/>
                </m:rPr>
                <m:t>,</m:t>
              </m:r>
              <m:r>
                <m:t>g</m:t>
              </m:r>
              <m:r>
                <m:rPr>
                  <m:sty m:val="p"/>
                </m:rPr>
                <m:t>,</m:t>
              </m:r>
              <m:r>
                <m:rPr>
                  <m:sty m:val="p"/>
                </m:rPr>
                <m:t>Δ</m:t>
              </m:r>
              <m:r>
                <m:rPr>
                  <m:sty m:val="p"/>
                </m:rPr>
                <m:t>,</m:t>
              </m:r>
              <m:r>
                <m:rPr>
                  <m:scr m:val="script"/>
                  <m:sty m:val="p"/>
                </m:rPr>
                <m:t>R</m:t>
              </m:r>
            </m:oMath>
            <w:r>
              <w:rPr>
                <w:rFonts w:ascii="Times New Roman" w:hAnsi="Times New Roman" w:eastAsia="Times New Roman"/>
                <w:sz w:val="18"/>
              </w:rPr>
              <w:t xml:space="preserve"> </w:t>
            </w:r>
            <w:r>
              <w:rPr>
                <w:rFonts w:ascii="Times New Roman" w:hAnsi="Times New Roman" w:eastAsia="Times New Roman"/>
                <w:sz w:val="18"/>
              </w:rPr>
              <w:t xml:space="preserve">and interfaces.</w:t>
            </w:r>
          </w:p>
        </w:tc>
        <w:tc>
          <w:tcPr>
            <w:tcW w:type="dxa" w:w="2246"/>
            <w:shd w:fill="FFFFFF" w:val="clear"/>
          </w:tcPr>
          <w:p>
            <w:pPr>
              <w:pStyle w:val="Compact"/>
              <w:spacing w:after="60"/>
            </w:pPr>
            <w:r>
              <w:rPr>
                <w:rFonts w:ascii="Times New Roman" w:hAnsi="Times New Roman" w:eastAsia="Times New Roman"/>
                <w:sz w:val="18"/>
              </w:rPr>
              <w:t xml:space="preserve">Unlicensed</w:t>
            </w:r>
          </w:p>
        </w:tc>
        <w:tc>
          <w:tcPr>
            <w:tcW w:type="dxa" w:w="3182"/>
            <w:shd w:fill="FFFFFF" w:val="clear"/>
          </w:tcPr>
          <w:p>
            <w:pPr>
              <w:pStyle w:val="Compact"/>
              <w:spacing w:after="60"/>
            </w:pPr>
            <w:r>
              <w:rPr>
                <w:rFonts w:ascii="Times New Roman" w:hAnsi="Times New Roman" w:eastAsia="Times New Roman"/>
                <w:sz w:val="18"/>
              </w:rPr>
              <w:t xml:space="preserve">Do not select the system from the broadcast result.</w:t>
            </w:r>
          </w:p>
        </w:tc>
      </w:tr>
      <w:tr>
        <w:trPr>
          <w:cantSplit/>
        </w:trPr>
        <w:tc>
          <w:tcPr>
            <w:tcW w:type="dxa" w:w="1217"/>
            <w:shd w:fill="EAF1F6" w:val="clear"/>
          </w:tcPr>
          <w:p>
            <w:pPr>
              <w:pStyle w:val="Compact"/>
              <w:spacing w:after="60"/>
            </w:pPr>
            <w:r>
              <w:rPr>
                <w:rFonts w:ascii="Times New Roman" w:hAnsi="Times New Roman" w:eastAsia="Times New Roman"/>
                <w:sz w:val="18"/>
              </w:rPr>
              <w:t xml:space="preserve">2. Define content</w:t>
            </w:r>
          </w:p>
        </w:tc>
        <w:tc>
          <w:tcPr>
            <w:tcW w:type="dxa" w:w="2714"/>
            <w:shd w:fill="EAF1F6" w:val="clear"/>
          </w:tcPr>
          <w:p>
            <w:pPr>
              <w:pStyle w:val="Compact"/>
              <w:spacing w:after="60"/>
            </w:pPr>
            <w:r>
              <w:rPr>
                <w:rFonts w:ascii="Times New Roman" w:hAnsi="Times New Roman" w:eastAsia="Times New Roman"/>
                <w:sz w:val="18"/>
              </w:rPr>
              <w:t xml:space="preserve">Specify</w:t>
            </w:r>
            <w:r>
              <w:rPr>
                <w:rFonts w:ascii="Times New Roman" w:hAnsi="Times New Roman" w:eastAsia="Times New Roman"/>
                <w:sz w:val="18"/>
              </w:rPr>
              <w:t xml:space="preserve"> </w:t>
            </w:r>
            <m:oMath>
              <m:r>
                <m:t>c</m:t>
              </m:r>
              <m:r>
                <m:rPr>
                  <m:sty m:val="p"/>
                </m:rPr>
                <m:t>,</m:t>
              </m:r>
              <m:sSub>
                <m:e>
                  <m:r>
                    <m:t>c</m:t>
                  </m:r>
                </m:e>
                <m:sub>
                  <m:r>
                    <m:t>0</m:t>
                  </m:r>
                </m:sub>
              </m:sSub>
            </m:oMath>
            <w:r>
              <w:rPr>
                <w:rFonts w:ascii="Times New Roman" w:hAnsi="Times New Roman" w:eastAsia="Times New Roman"/>
                <w:sz w:val="18"/>
              </w:rPr>
              <w:t xml:space="preserve">, content-bearing variables, and source-fidelity checks.</w:t>
            </w:r>
          </w:p>
        </w:tc>
        <w:tc>
          <w:tcPr>
            <w:tcW w:type="dxa" w:w="2246"/>
            <w:shd w:fill="EAF1F6" w:val="clear"/>
          </w:tcPr>
          <w:p>
            <w:pPr>
              <w:pStyle w:val="Compact"/>
              <w:spacing w:after="60"/>
            </w:pPr>
            <w:r>
              <w:rPr>
                <w:rFonts w:ascii="Times New Roman" w:hAnsi="Times New Roman" w:eastAsia="Times New Roman"/>
                <w:sz w:val="18"/>
              </w:rPr>
              <w:t xml:space="preserve">Content-indeterminate or unlicensed</w:t>
            </w:r>
          </w:p>
        </w:tc>
        <w:tc>
          <w:tcPr>
            <w:tcW w:type="dxa" w:w="3182"/>
            <w:shd w:fill="EAF1F6" w:val="clear"/>
          </w:tcPr>
          <w:p>
            <w:pPr>
              <w:pStyle w:val="Compact"/>
              <w:spacing w:after="60"/>
            </w:pPr>
            <w:r>
              <w:rPr>
                <w:rFonts w:ascii="Times New Roman" w:hAnsi="Times New Roman" w:eastAsia="Times New Roman"/>
                <w:sz w:val="18"/>
              </w:rPr>
              <w:t xml:space="preserve">Do not localize only from report activity or count injection-site leakage.</w:t>
            </w:r>
          </w:p>
        </w:tc>
      </w:tr>
      <w:tr>
        <w:trPr>
          <w:cantSplit/>
        </w:trPr>
        <w:tc>
          <w:tcPr>
            <w:tcW w:type="dxa" w:w="1217"/>
            <w:shd w:fill="FFFFFF" w:val="clear"/>
          </w:tcPr>
          <w:p>
            <w:pPr>
              <w:pStyle w:val="Compact"/>
              <w:spacing w:after="60"/>
            </w:pPr>
            <w:r>
              <w:rPr>
                <w:rFonts w:ascii="Times New Roman" w:hAnsi="Times New Roman" w:eastAsia="Times New Roman"/>
                <w:sz w:val="18"/>
              </w:rPr>
              <w:t xml:space="preserve">3. Calibrate classes</w:t>
            </w:r>
          </w:p>
        </w:tc>
        <w:tc>
          <w:tcPr>
            <w:tcW w:type="dxa" w:w="2714"/>
            <w:shd w:fill="FFFFFF" w:val="clear"/>
          </w:tcPr>
          <w:p>
            <w:pPr>
              <w:pStyle w:val="Compact"/>
              <w:spacing w:after="60"/>
            </w:pPr>
            <w:r>
              <w:rPr>
                <w:rFonts w:ascii="Times New Roman" w:hAnsi="Times New Roman" w:eastAsia="Times New Roman"/>
                <w:sz w:val="18"/>
              </w:rPr>
              <w:t xml:space="preserve">Estimate independent causal repertoires and freeze</w:t>
            </w:r>
            <w:r>
              <w:rPr>
                <w:rFonts w:ascii="Times New Roman" w:hAnsi="Times New Roman" w:eastAsia="Times New Roman"/>
                <w:sz w:val="18"/>
              </w:rPr>
              <w:t xml:space="preserve"> </w:t>
            </w:r>
            <m:oMath>
              <m:r>
                <m:rPr>
                  <m:scr m:val="script"/>
                  <m:sty m:val="p"/>
                </m:rPr>
                <m:t>M</m:t>
              </m:r>
            </m:oMath>
            <w:r>
              <w:rPr>
                <w:rFonts w:ascii="Times New Roman" w:hAnsi="Times New Roman" w:eastAsia="Times New Roman"/>
                <w:sz w:val="18"/>
              </w:rPr>
              <w:t xml:space="preserve">.</w:t>
            </w:r>
          </w:p>
        </w:tc>
        <w:tc>
          <w:tcPr>
            <w:tcW w:type="dxa" w:w="2246"/>
            <w:shd w:fill="FFFFFF" w:val="clear"/>
          </w:tcPr>
          <w:p>
            <w:pPr>
              <w:pStyle w:val="Compact"/>
              <w:spacing w:after="60"/>
            </w:pPr>
            <w:r>
              <w:rPr>
                <w:rFonts w:ascii="Times New Roman" w:hAnsi="Times New Roman" w:eastAsia="Times New Roman"/>
                <w:sz w:val="18"/>
              </w:rPr>
              <w:t xml:space="preserve">Taxonomy-unlicensed</w:t>
            </w:r>
          </w:p>
        </w:tc>
        <w:tc>
          <w:tcPr>
            <w:tcW w:type="dxa" w:w="3182"/>
            <w:shd w:fill="FFFFFF" w:val="clear"/>
          </w:tcPr>
          <w:p>
            <w:pPr>
              <w:pStyle w:val="Compact"/>
              <w:spacing w:after="60"/>
            </w:pPr>
            <w:r>
              <w:rPr>
                <w:rFonts w:ascii="Times New Roman" w:hAnsi="Times New Roman" w:eastAsia="Times New Roman"/>
                <w:sz w:val="18"/>
              </w:rPr>
              <w:t xml:space="preserve">Do not multiply classes by reparcellation.</w:t>
            </w:r>
          </w:p>
        </w:tc>
      </w:tr>
      <w:tr>
        <w:trPr>
          <w:cantSplit/>
        </w:trPr>
        <w:tc>
          <w:tcPr>
            <w:tcW w:type="dxa" w:w="1217"/>
            <w:shd w:fill="EAF1F6" w:val="clear"/>
          </w:tcPr>
          <w:p>
            <w:pPr>
              <w:pStyle w:val="Compact"/>
              <w:spacing w:after="60"/>
            </w:pPr>
            <w:r>
              <w:rPr>
                <w:rFonts w:ascii="Times New Roman" w:hAnsi="Times New Roman" w:eastAsia="Times New Roman"/>
                <w:sz w:val="18"/>
              </w:rPr>
              <w:t xml:space="preserve">4. Lock contexts</w:t>
            </w:r>
          </w:p>
        </w:tc>
        <w:tc>
          <w:tcPr>
            <w:tcW w:type="dxa" w:w="2714"/>
            <w:shd w:fill="EAF1F6" w:val="clear"/>
          </w:tcPr>
          <w:p>
            <w:pPr>
              <w:pStyle w:val="Compact"/>
              <w:spacing w:after="60"/>
            </w:pPr>
            <w:r>
              <w:rPr>
                <w:rFonts w:ascii="Times New Roman" w:hAnsi="Times New Roman" w:eastAsia="Times New Roman"/>
                <w:sz w:val="18"/>
              </w:rPr>
              <w:t xml:space="preserve">Declare</w:t>
            </w:r>
            <w:r>
              <w:rPr>
                <w:rFonts w:ascii="Times New Roman" w:hAnsi="Times New Roman" w:eastAsia="Times New Roman"/>
                <w:sz w:val="18"/>
              </w:rPr>
              <w:t xml:space="preserve"> </w:t>
            </w:r>
            <m:oMath>
              <m:sSubSup>
                <m:e>
                  <m:r>
                    <m:rPr>
                      <m:scr m:val="script"/>
                      <m:sty m:val="p"/>
                    </m:rPr>
                    <m:t>U</m:t>
                  </m:r>
                </m:e>
                <m:sub>
                  <m:r>
                    <m:t>k</m:t>
                  </m:r>
                </m:sub>
                <m:sup>
                  <m:r>
                    <m:t>γ</m:t>
                  </m:r>
                </m:sup>
              </m:sSubSup>
              <m:r>
                <m:rPr>
                  <m:sty m:val="p"/>
                </m:rPr>
                <m:t>,</m:t>
              </m:r>
              <m:r>
                <m:rPr>
                  <m:sty m:val="p"/>
                </m:rPr>
                <m:t>Γ</m:t>
              </m:r>
              <m:r>
                <m:rPr>
                  <m:sty m:val="p"/>
                </m:rPr>
                <m:t>,</m:t>
              </m:r>
              <m:r>
                <m:t>γ</m:t>
              </m:r>
              <m:r>
                <m:rPr>
                  <m:sty m:val="p"/>
                </m:rPr>
                <m:t>,</m:t>
              </m:r>
              <m:sSub>
                <m:e>
                  <m:r>
                    <m:t>ν</m:t>
                  </m:r>
                </m:e>
                <m:sub>
                  <m:r>
                    <m:t>k</m:t>
                  </m:r>
                </m:sub>
              </m:sSub>
              <m:r>
                <m:rPr>
                  <m:sty m:val="p"/>
                </m:rPr>
                <m:t>,</m:t>
              </m:r>
              <m:sSub>
                <m:e>
                  <m:r>
                    <m:t>ρ</m:t>
                  </m:r>
                </m:e>
                <m:sub>
                  <m:r>
                    <m:t>U</m:t>
                  </m:r>
                </m:sub>
              </m:sSub>
            </m:oMath>
            <w:r>
              <w:rPr>
                <w:rFonts w:ascii="Times New Roman" w:hAnsi="Times New Roman" w:eastAsia="Times New Roman"/>
                <w:sz w:val="18"/>
              </w:rPr>
              <w:t xml:space="preserve">, and regime tests.</w:t>
            </w:r>
          </w:p>
        </w:tc>
        <w:tc>
          <w:tcPr>
            <w:tcW w:type="dxa" w:w="2246"/>
            <w:shd w:fill="EAF1F6" w:val="clear"/>
          </w:tcPr>
          <w:p>
            <w:pPr>
              <w:pStyle w:val="Compact"/>
              <w:spacing w:after="60"/>
            </w:pPr>
            <w:r>
              <w:rPr>
                <w:rFonts w:ascii="Times New Roman" w:hAnsi="Times New Roman" w:eastAsia="Times New Roman"/>
                <w:sz w:val="18"/>
              </w:rPr>
              <w:t xml:space="preserve">Counterfactual-unlicensed</w:t>
            </w:r>
          </w:p>
        </w:tc>
        <w:tc>
          <w:tcPr>
            <w:tcW w:type="dxa" w:w="3182"/>
            <w:shd w:fill="EAF1F6" w:val="clear"/>
          </w:tcPr>
          <w:p>
            <w:pPr>
              <w:pStyle w:val="Compact"/>
              <w:spacing w:after="60"/>
            </w:pPr>
            <w:r>
              <w:rPr>
                <w:rFonts w:ascii="Times New Roman" w:hAnsi="Times New Roman" w:eastAsia="Times New Roman"/>
                <w:sz w:val="18"/>
              </w:rPr>
              <w:t xml:space="preserve">No new controller, long retraining, outcome-selected context, or report-only probe.</w:t>
            </w:r>
          </w:p>
        </w:tc>
      </w:tr>
      <w:tr>
        <w:trPr>
          <w:cantSplit/>
        </w:trPr>
        <w:tc>
          <w:tcPr>
            <w:tcW w:type="dxa" w:w="1217"/>
            <w:shd w:fill="FFFFFF" w:val="clear"/>
          </w:tcPr>
          <w:p>
            <w:pPr>
              <w:pStyle w:val="Compact"/>
              <w:spacing w:after="60"/>
            </w:pPr>
            <w:r>
              <w:rPr>
                <w:rFonts w:ascii="Times New Roman" w:hAnsi="Times New Roman" w:eastAsia="Times New Roman"/>
                <w:sz w:val="18"/>
              </w:rPr>
              <w:t xml:space="preserve">5. Intervene</w:t>
            </w:r>
          </w:p>
        </w:tc>
        <w:tc>
          <w:tcPr>
            <w:tcW w:type="dxa" w:w="2714"/>
            <w:shd w:fill="FFFFFF" w:val="clear"/>
          </w:tcPr>
          <w:p>
            <w:pPr>
              <w:pStyle w:val="Compact"/>
              <w:spacing w:after="60"/>
            </w:pPr>
            <w:r>
              <w:rPr>
                <w:rFonts w:ascii="Times New Roman" w:hAnsi="Times New Roman" w:eastAsia="Times New Roman"/>
                <w:sz w:val="18"/>
              </w:rPr>
              <w:t xml:space="preserve">Estimate</w:t>
            </w:r>
            <w:r>
              <w:rPr>
                <w:rFonts w:ascii="Times New Roman" w:hAnsi="Times New Roman" w:eastAsia="Times New Roman"/>
                <w:sz w:val="18"/>
              </w:rPr>
              <w:t xml:space="preserve"> </w:t>
            </w:r>
            <m:oMath>
              <m:sSubSup>
                <m:e>
                  <m:r>
                    <m:t>E</m:t>
                  </m:r>
                </m:e>
                <m:sub>
                  <m:r>
                    <m:t>k</m:t>
                  </m:r>
                </m:sub>
                <m:sup>
                  <m:r>
                    <m:rPr>
                      <m:sty m:val="p"/>
                    </m:rPr>
                    <m:t>*</m:t>
                  </m:r>
                </m:sup>
              </m:sSubSup>
              <m:r>
                <m:rPr>
                  <m:sty m:val="p"/>
                </m:rPr>
                <m:t>,</m:t>
              </m:r>
              <m:sSub>
                <m:e>
                  <m:r>
                    <m:t>L</m:t>
                  </m:r>
                </m:e>
                <m:sub>
                  <m:r>
                    <m:t>k</m:t>
                  </m:r>
                </m:sub>
              </m:sSub>
              <m:r>
                <m:rPr>
                  <m:sty m:val="p"/>
                </m:rPr>
                <m:t>,</m:t>
              </m:r>
              <m:sSub>
                <m:e>
                  <m:r>
                    <m:t>R</m:t>
                  </m:r>
                </m:e>
                <m:sub>
                  <m:r>
                    <m:t>U</m:t>
                  </m:r>
                  <m:r>
                    <m:rPr>
                      <m:sty m:val="p"/>
                    </m:rPr>
                    <m:t>,</m:t>
                  </m:r>
                  <m:r>
                    <m:t>k</m:t>
                  </m:r>
                </m:sub>
              </m:sSub>
            </m:oMath>
            <w:r>
              <w:rPr>
                <w:rFonts w:ascii="Times New Roman" w:hAnsi="Times New Roman" w:eastAsia="Times New Roman"/>
                <w:sz w:val="18"/>
              </w:rPr>
              <w:t xml:space="preserve"> </w:t>
            </w:r>
            <w:r>
              <w:rPr>
                <w:rFonts w:ascii="Times New Roman" w:hAnsi="Times New Roman" w:eastAsia="Times New Roman"/>
                <w:sz w:val="18"/>
              </w:rPr>
              <w:t xml:space="preserve">with matched controls.</w:t>
            </w:r>
          </w:p>
        </w:tc>
        <w:tc>
          <w:tcPr>
            <w:tcW w:type="dxa" w:w="2246"/>
            <w:shd w:fill="FFFFFF" w:val="clear"/>
          </w:tcPr>
          <w:p>
            <w:pPr>
              <w:pStyle w:val="Compact"/>
              <w:spacing w:after="60"/>
            </w:pPr>
            <w:r>
              <w:rPr>
                <w:rFonts w:ascii="Times New Roman" w:hAnsi="Times New Roman" w:eastAsia="Times New Roman"/>
                <w:sz w:val="18"/>
              </w:rPr>
              <w:t xml:space="preserve">Effect or robustness negative/indeterminate</w:t>
            </w:r>
          </w:p>
        </w:tc>
        <w:tc>
          <w:tcPr>
            <w:tcW w:type="dxa" w:w="3182"/>
            <w:shd w:fill="FFFFFF" w:val="clear"/>
          </w:tcPr>
          <w:p>
            <w:pPr>
              <w:pStyle w:val="Compact"/>
              <w:spacing w:after="60"/>
            </w:pPr>
            <w:r>
              <w:rPr>
                <w:rFonts w:ascii="Times New Roman" w:hAnsi="Times New Roman" w:eastAsia="Times New Roman"/>
                <w:sz w:val="18"/>
              </w:rPr>
              <w:t xml:space="preserve">Match energy, support, duration, and global state.</w:t>
            </w:r>
          </w:p>
        </w:tc>
      </w:tr>
      <w:tr>
        <w:trPr>
          <w:cantSplit/>
        </w:trPr>
        <w:tc>
          <w:tcPr>
            <w:tcW w:type="dxa" w:w="1217"/>
            <w:shd w:fill="EAF1F6" w:val="clear"/>
          </w:tcPr>
          <w:p>
            <w:pPr>
              <w:pStyle w:val="Compact"/>
              <w:spacing w:after="60"/>
            </w:pPr>
            <w:r>
              <w:rPr>
                <w:rFonts w:ascii="Times New Roman" w:hAnsi="Times New Roman" w:eastAsia="Times New Roman"/>
                <w:sz w:val="18"/>
              </w:rPr>
              <w:t xml:space="preserve">6. Test specificity</w:t>
            </w:r>
          </w:p>
        </w:tc>
        <w:tc>
          <w:tcPr>
            <w:tcW w:type="dxa" w:w="2714"/>
            <w:shd w:fill="EAF1F6" w:val="clear"/>
          </w:tcPr>
          <w:p>
            <w:pPr>
              <w:pStyle w:val="Compact"/>
              <w:spacing w:after="60"/>
            </w:pPr>
            <w:r>
              <w:rPr>
                <w:rFonts w:ascii="Times New Roman" w:hAnsi="Times New Roman" w:eastAsia="Times New Roman"/>
                <w:sz w:val="18"/>
              </w:rPr>
              <w:t xml:space="preserve">Estimate</w:t>
            </w:r>
            <w:r>
              <w:rPr>
                <w:rFonts w:ascii="Times New Roman" w:hAnsi="Times New Roman" w:eastAsia="Times New Roman"/>
                <w:sz w:val="18"/>
              </w:rPr>
              <w:t xml:space="preserve"> </w:t>
            </w:r>
            <m:oMath>
              <m:sSub>
                <m:e>
                  <m:r>
                    <m:rPr>
                      <m:sty m:val="p"/>
                    </m:rPr>
                    <m:t>Sel</m:t>
                  </m:r>
                </m:e>
                <m:sub>
                  <m:r>
                    <m:t>k</m:t>
                  </m:r>
                </m:sub>
              </m:sSub>
            </m:oMath>
            <w:r>
              <w:rPr>
                <w:rFonts w:ascii="Times New Roman" w:hAnsi="Times New Roman" w:eastAsia="Times New Roman"/>
                <w:sz w:val="18"/>
              </w:rPr>
              <w:t xml:space="preserve"> </w:t>
            </w:r>
            <w:r>
              <w:rPr>
                <w:rFonts w:ascii="Times New Roman" w:hAnsi="Times New Roman" w:eastAsia="Times New Roman"/>
                <w:sz w:val="18"/>
              </w:rPr>
              <w:t xml:space="preserve">and common-input controls.</w:t>
            </w:r>
          </w:p>
        </w:tc>
        <w:tc>
          <w:tcPr>
            <w:tcW w:type="dxa" w:w="2246"/>
            <w:shd w:fill="EAF1F6" w:val="clear"/>
          </w:tcPr>
          <w:p>
            <w:pPr>
              <w:pStyle w:val="Compact"/>
              <w:spacing w:after="60"/>
            </w:pPr>
            <w:r>
              <w:rPr>
                <w:rFonts w:ascii="Times New Roman" w:hAnsi="Times New Roman" w:eastAsia="Times New Roman"/>
                <w:sz w:val="18"/>
              </w:rPr>
              <w:t xml:space="preserve">Diffusion-compatible</w:t>
            </w:r>
          </w:p>
        </w:tc>
        <w:tc>
          <w:tcPr>
            <w:tcW w:type="dxa" w:w="3182"/>
            <w:shd w:fill="EAF1F6" w:val="clear"/>
          </w:tcPr>
          <w:p>
            <w:pPr>
              <w:pStyle w:val="Compact"/>
              <w:spacing w:after="60"/>
            </w:pPr>
            <w:r>
              <w:rPr>
                <w:rFonts w:ascii="Times New Roman" w:hAnsi="Times New Roman" w:eastAsia="Times New Roman"/>
                <w:sz w:val="18"/>
              </w:rPr>
              <w:t xml:space="preserve">Widespread activation alone never passes.</w:t>
            </w:r>
          </w:p>
        </w:tc>
      </w:tr>
      <w:tr>
        <w:trPr>
          <w:cantSplit/>
        </w:trPr>
        <w:tc>
          <w:tcPr>
            <w:tcW w:type="dxa" w:w="1217"/>
            <w:shd w:fill="FFFFFF" w:val="clear"/>
          </w:tcPr>
          <w:p>
            <w:pPr>
              <w:pStyle w:val="Compact"/>
              <w:spacing w:after="60"/>
            </w:pPr>
            <w:r>
              <w:rPr>
                <w:rFonts w:ascii="Times New Roman" w:hAnsi="Times New Roman" w:eastAsia="Times New Roman"/>
                <w:sz w:val="18"/>
              </w:rPr>
              <w:t xml:space="preserve">7. Test routes</w:t>
            </w:r>
          </w:p>
        </w:tc>
        <w:tc>
          <w:tcPr>
            <w:tcW w:type="dxa" w:w="2714"/>
            <w:shd w:fill="FFFFFF" w:val="clear"/>
          </w:tcPr>
          <w:p>
            <w:pPr>
              <w:pStyle w:val="Compact"/>
              <w:spacing w:after="60"/>
            </w:pPr>
            <w:r>
              <w:rPr>
                <w:rFonts w:ascii="Times New Roman" w:hAnsi="Times New Roman" w:eastAsia="Times New Roman"/>
                <w:sz w:val="18"/>
              </w:rPr>
              <w:t xml:space="preserve">Interrupt route families with support replacement.</w:t>
            </w:r>
          </w:p>
        </w:tc>
        <w:tc>
          <w:tcPr>
            <w:tcW w:type="dxa" w:w="2246"/>
            <w:shd w:fill="FFFFFF" w:val="clear"/>
          </w:tcPr>
          <w:p>
            <w:pPr>
              <w:pStyle w:val="Compact"/>
              <w:spacing w:after="60"/>
            </w:pPr>
            <w:r>
              <w:rPr>
                <w:rFonts w:ascii="Times New Roman" w:hAnsi="Times New Roman" w:eastAsia="Times New Roman"/>
                <w:sz w:val="18"/>
              </w:rPr>
              <w:t xml:space="preserve">Route negative or indeterminate</w:t>
            </w:r>
          </w:p>
        </w:tc>
        <w:tc>
          <w:tcPr>
            <w:tcW w:type="dxa" w:w="3182"/>
            <w:shd w:fill="FFFFFF" w:val="clear"/>
          </w:tcPr>
          <w:p>
            <w:pPr>
              <w:pStyle w:val="Compact"/>
              <w:spacing w:after="60"/>
            </w:pPr>
            <w:r>
              <w:rPr>
                <w:rFonts w:ascii="Times New Roman" w:hAnsi="Times New Roman" w:eastAsia="Times New Roman"/>
                <w:sz w:val="18"/>
              </w:rPr>
              <w:t xml:space="preserve">Preserve local excitability and account for redundancy.</w:t>
            </w:r>
          </w:p>
        </w:tc>
      </w:tr>
      <w:tr>
        <w:trPr>
          <w:cantSplit/>
        </w:trPr>
        <w:tc>
          <w:tcPr>
            <w:tcW w:type="dxa" w:w="1217"/>
            <w:shd w:fill="EAF1F6" w:val="clear"/>
          </w:tcPr>
          <w:p>
            <w:pPr>
              <w:pStyle w:val="Compact"/>
              <w:spacing w:after="60"/>
            </w:pPr>
            <w:r>
              <w:rPr>
                <w:rFonts w:ascii="Times New Roman" w:hAnsi="Times New Roman" w:eastAsia="Times New Roman"/>
                <w:sz w:val="18"/>
              </w:rPr>
              <w:t xml:space="preserve">8. Aggregate</w:t>
            </w:r>
          </w:p>
        </w:tc>
        <w:tc>
          <w:tcPr>
            <w:tcW w:type="dxa" w:w="2714"/>
            <w:shd w:fill="EAF1F6" w:val="clear"/>
          </w:tcPr>
          <w:p>
            <w:pPr>
              <w:pStyle w:val="Compact"/>
              <w:spacing w:after="60"/>
            </w:pPr>
            <w:r>
              <w:rPr>
                <w:rFonts w:ascii="Times New Roman" w:hAnsi="Times New Roman" w:eastAsia="Times New Roman"/>
                <w:sz w:val="18"/>
              </w:rPr>
              <w:t xml:space="preserve">Compute</w:t>
            </w:r>
            <w:r>
              <w:rPr>
                <w:rFonts w:ascii="Times New Roman" w:hAnsi="Times New Roman" w:eastAsia="Times New Roman"/>
                <w:sz w:val="18"/>
              </w:rPr>
              <w:t xml:space="preserve"> </w:t>
            </w:r>
            <m:oMath>
              <m:sSub>
                <m:e>
                  <m:r>
                    <m:t>C</m:t>
                  </m:r>
                </m:e>
                <m:sub>
                  <m:r>
                    <m:t>A</m:t>
                  </m:r>
                </m:sub>
              </m:sSub>
              <m:r>
                <m:rPr>
                  <m:sty m:val="p"/>
                </m:rPr>
                <m:t>,</m:t>
              </m:r>
              <m:sSub>
                <m:e>
                  <m:r>
                    <m:t>K</m:t>
                  </m:r>
                </m:e>
                <m:sub>
                  <m:r>
                    <m:t>A</m:t>
                  </m:r>
                </m:sub>
              </m:sSub>
              <m:r>
                <m:rPr>
                  <m:sty m:val="p"/>
                </m:rPr>
                <m:t>,</m:t>
              </m:r>
              <m:sSub>
                <m:e>
                  <m:r>
                    <m:t>H</m:t>
                  </m:r>
                </m:e>
                <m:sub>
                  <m:r>
                    <m:t>A</m:t>
                  </m:r>
                </m:sub>
              </m:sSub>
            </m:oMath>
            <w:r>
              <w:rPr>
                <w:rFonts w:ascii="Times New Roman" w:hAnsi="Times New Roman" w:eastAsia="Times New Roman"/>
                <w:sz w:val="18"/>
              </w:rPr>
              <w:t xml:space="preserve">.</w:t>
            </w:r>
          </w:p>
        </w:tc>
        <w:tc>
          <w:tcPr>
            <w:tcW w:type="dxa" w:w="2246"/>
            <w:shd w:fill="EAF1F6" w:val="clear"/>
          </w:tcPr>
          <w:p>
            <w:pPr>
              <w:pStyle w:val="Compact"/>
              <w:spacing w:after="60"/>
            </w:pPr>
            <w:r>
              <w:rPr>
                <w:rFonts w:ascii="Times New Roman" w:hAnsi="Times New Roman" w:eastAsia="Times New Roman"/>
                <w:sz w:val="18"/>
              </w:rPr>
              <w:t xml:space="preserve">Coverage/diversity negative or indeterminate</w:t>
            </w:r>
          </w:p>
        </w:tc>
        <w:tc>
          <w:tcPr>
            <w:tcW w:type="dxa" w:w="3182"/>
            <w:shd w:fill="EAF1F6" w:val="clear"/>
          </w:tcPr>
          <w:p>
            <w:pPr>
              <w:pStyle w:val="Compact"/>
              <w:spacing w:after="60"/>
            </w:pPr>
            <w:r>
              <w:rPr>
                <w:rFonts w:ascii="Times New Roman" w:hAnsi="Times New Roman" w:eastAsia="Times New Roman"/>
                <w:sz w:val="18"/>
              </w:rPr>
              <w:t xml:space="preserve">Weight functional classes, not raw nodes.</w:t>
            </w:r>
          </w:p>
        </w:tc>
      </w:tr>
      <w:tr>
        <w:trPr>
          <w:cantSplit/>
        </w:trPr>
        <w:tc>
          <w:tcPr>
            <w:tcW w:type="dxa" w:w="1217"/>
            <w:shd w:fill="FFFFFF" w:val="clear"/>
          </w:tcPr>
          <w:p>
            <w:pPr>
              <w:pStyle w:val="Compact"/>
              <w:spacing w:after="60"/>
            </w:pPr>
            <w:r>
              <w:rPr>
                <w:rFonts w:ascii="Times New Roman" w:hAnsi="Times New Roman" w:eastAsia="Times New Roman"/>
                <w:sz w:val="18"/>
              </w:rPr>
              <w:t xml:space="preserve">9. Remove access</w:t>
            </w:r>
          </w:p>
        </w:tc>
        <w:tc>
          <w:tcPr>
            <w:tcW w:type="dxa" w:w="2714"/>
            <w:shd w:fill="FFFFFF" w:val="clear"/>
          </w:tcPr>
          <w:p>
            <w:pPr>
              <w:pStyle w:val="Compact"/>
              <w:spacing w:after="60"/>
            </w:pPr>
            <w:r>
              <w:rPr>
                <w:rFonts w:ascii="Times New Roman" w:hAnsi="Times New Roman" w:eastAsia="Times New Roman"/>
                <w:sz w:val="18"/>
              </w:rPr>
              <w:t xml:space="preserve">Recompute</w:t>
            </w:r>
            <w:r>
              <w:rPr>
                <w:rFonts w:ascii="Times New Roman" w:hAnsi="Times New Roman" w:eastAsia="Times New Roman"/>
                <w:sz w:val="18"/>
              </w:rPr>
              <w:t xml:space="preserve"> </w:t>
            </w:r>
            <m:oMath>
              <m:sSubSup>
                <m:e>
                  <m:r>
                    <m:t>N</m:t>
                  </m:r>
                </m:e>
                <m:sub>
                  <m:r>
                    <m:t>2</m:t>
                  </m:r>
                </m:sub>
                <m:sup>
                  <m:r>
                    <m:rPr>
                      <m:sty m:val="p"/>
                    </m:rPr>
                    <m:t>−</m:t>
                  </m:r>
                  <m:r>
                    <m:t>R</m:t>
                  </m:r>
                </m:sup>
              </m:sSubSup>
              <m:r>
                <m:rPr>
                  <m:sty m:val="p"/>
                </m:rPr>
                <m:t>,</m:t>
              </m:r>
              <m:sSubSup>
                <m:e>
                  <m:r>
                    <m:t>N</m:t>
                  </m:r>
                </m:e>
                <m:sub>
                  <m:r>
                    <m:t>2</m:t>
                  </m:r>
                </m:sub>
                <m:sup>
                  <m:r>
                    <m:rPr>
                      <m:sty m:val="p"/>
                    </m:rPr>
                    <m:t>−</m:t>
                  </m:r>
                  <m:r>
                    <m:t>E</m:t>
                  </m:r>
                </m:sup>
              </m:sSubSup>
            </m:oMath>
            <w:r>
              <w:rPr>
                <w:rFonts w:ascii="Times New Roman" w:hAnsi="Times New Roman" w:eastAsia="Times New Roman"/>
                <w:sz w:val="18"/>
              </w:rPr>
              <w:t xml:space="preserve">.</w:t>
            </w:r>
          </w:p>
        </w:tc>
        <w:tc>
          <w:tcPr>
            <w:tcW w:type="dxa" w:w="2246"/>
            <w:shd w:fill="FFFFFF" w:val="clear"/>
          </w:tcPr>
          <w:p>
            <w:pPr>
              <w:pStyle w:val="Compact"/>
              <w:spacing w:after="60"/>
            </w:pPr>
            <w:r>
              <w:rPr>
                <w:rFonts w:ascii="Times New Roman" w:hAnsi="Times New Roman" w:eastAsia="Times New Roman"/>
                <w:sz w:val="18"/>
              </w:rPr>
              <w:t xml:space="preserve">Access-dependent</w:t>
            </w:r>
          </w:p>
        </w:tc>
        <w:tc>
          <w:tcPr>
            <w:tcW w:type="dxa" w:w="3182"/>
            <w:shd w:fill="FFFFFF" w:val="clear"/>
          </w:tcPr>
          <w:p>
            <w:pPr>
              <w:pStyle w:val="Compact"/>
              <w:spacing w:after="60"/>
            </w:pPr>
            <w:r>
              <w:rPr>
                <w:rFonts w:ascii="Times New Roman" w:hAnsi="Times New Roman" w:eastAsia="Times New Roman"/>
                <w:sz w:val="18"/>
              </w:rPr>
              <w:t xml:space="preserve">Neither report nor executive uptake may be the sole pass route.</w:t>
            </w:r>
          </w:p>
        </w:tc>
      </w:tr>
      <w:tr>
        <w:trPr>
          <w:cantSplit/>
        </w:trPr>
        <w:tc>
          <w:tcPr>
            <w:tcW w:type="dxa" w:w="1217"/>
            <w:shd w:fill="EAF1F6" w:val="clear"/>
          </w:tcPr>
          <w:p>
            <w:pPr>
              <w:pStyle w:val="Compact"/>
              <w:spacing w:after="60"/>
            </w:pPr>
            <w:r>
              <w:rPr>
                <w:rFonts w:ascii="Times New Roman" w:hAnsi="Times New Roman" w:eastAsia="Times New Roman"/>
                <w:sz w:val="18"/>
              </w:rPr>
              <w:t xml:space="preserve">10. Stress-test</w:t>
            </w:r>
          </w:p>
        </w:tc>
        <w:tc>
          <w:tcPr>
            <w:tcW w:type="dxa" w:w="2714"/>
            <w:shd w:fill="EAF1F6" w:val="clear"/>
          </w:tcPr>
          <w:p>
            <w:pPr>
              <w:pStyle w:val="Compact"/>
              <w:spacing w:after="60"/>
            </w:pPr>
            <w:r>
              <w:rPr>
                <w:rFonts w:ascii="Times New Roman" w:hAnsi="Times New Roman" w:eastAsia="Times New Roman"/>
                <w:sz w:val="18"/>
              </w:rPr>
              <w:t xml:space="preserve">Estimate</w:t>
            </w:r>
            <w:r>
              <w:rPr>
                <w:rFonts w:ascii="Times New Roman" w:hAnsi="Times New Roman" w:eastAsia="Times New Roman"/>
                <w:sz w:val="18"/>
              </w:rPr>
              <w:t xml:space="preserve"> </w:t>
            </w:r>
            <m:oMath>
              <m:sSub>
                <m:e>
                  <m:r>
                    <m:t>R</m:t>
                  </m:r>
                </m:e>
                <m:sub>
                  <m:r>
                    <m:t>A</m:t>
                  </m:r>
                </m:sub>
              </m:sSub>
            </m:oMath>
            <w:r>
              <w:rPr>
                <w:rFonts w:ascii="Times New Roman" w:hAnsi="Times New Roman" w:eastAsia="Times New Roman"/>
                <w:sz w:val="18"/>
              </w:rPr>
              <w:t xml:space="preserve"> </w:t>
            </w:r>
            <w:r>
              <w:rPr>
                <w:rFonts w:ascii="Times New Roman" w:hAnsi="Times New Roman" w:eastAsia="Times New Roman"/>
                <w:sz w:val="18"/>
              </w:rPr>
              <w:t xml:space="preserve">across reasonable specifications.</w:t>
            </w:r>
          </w:p>
        </w:tc>
        <w:tc>
          <w:tcPr>
            <w:tcW w:type="dxa" w:w="2246"/>
            <w:shd w:fill="EAF1F6" w:val="clear"/>
          </w:tcPr>
          <w:p>
            <w:pPr>
              <w:pStyle w:val="Compact"/>
              <w:spacing w:after="60"/>
            </w:pPr>
            <w:r>
              <w:rPr>
                <w:rFonts w:ascii="Times New Roman" w:hAnsi="Times New Roman" w:eastAsia="Times New Roman"/>
                <w:sz w:val="18"/>
              </w:rPr>
              <w:t xml:space="preserve">Fragile or indeterminate</w:t>
            </w:r>
          </w:p>
        </w:tc>
        <w:tc>
          <w:tcPr>
            <w:tcW w:type="dxa" w:w="3182"/>
            <w:shd w:fill="EAF1F6" w:val="clear"/>
          </w:tcPr>
          <w:p>
            <w:pPr>
              <w:pStyle w:val="Compact"/>
              <w:spacing w:after="60"/>
            </w:pPr>
            <w:r>
              <w:rPr>
                <w:rFonts w:ascii="Times New Roman" w:hAnsi="Times New Roman" w:eastAsia="Times New Roman"/>
                <w:sz w:val="18"/>
              </w:rPr>
              <w:t xml:space="preserve">Report the full sensitivity distribution.</w:t>
            </w:r>
          </w:p>
        </w:tc>
      </w:tr>
      <w:tr>
        <w:trPr>
          <w:cantSplit/>
        </w:trPr>
        <w:tc>
          <w:tcPr>
            <w:tcW w:type="dxa" w:w="1217"/>
            <w:shd w:fill="FFFFFF" w:val="clear"/>
          </w:tcPr>
          <w:p>
            <w:pPr>
              <w:pStyle w:val="Compact"/>
              <w:spacing w:after="60"/>
            </w:pPr>
            <w:r>
              <w:rPr>
                <w:rFonts w:ascii="Times New Roman" w:hAnsi="Times New Roman" w:eastAsia="Times New Roman"/>
                <w:sz w:val="18"/>
              </w:rPr>
              <w:t xml:space="preserve">11. Classify</w:t>
            </w:r>
          </w:p>
        </w:tc>
        <w:tc>
          <w:tcPr>
            <w:tcW w:type="dxa" w:w="2714"/>
            <w:shd w:fill="FFFFFF" w:val="clear"/>
          </w:tcPr>
          <w:p>
            <w:pPr>
              <w:pStyle w:val="Compact"/>
              <w:spacing w:after="60"/>
            </w:pPr>
            <w:r>
              <w:rPr>
                <w:rFonts w:ascii="Times New Roman" w:hAnsi="Times New Roman" w:eastAsia="Times New Roman"/>
                <w:sz w:val="18"/>
              </w:rPr>
              <w:t xml:space="preserve">Return positive, negative, indeterminate, or unlicensed.</w:t>
            </w:r>
          </w:p>
        </w:tc>
        <w:tc>
          <w:tcPr>
            <w:tcW w:type="dxa" w:w="2246"/>
            <w:shd w:fill="FFFFFF" w:val="clear"/>
          </w:tcPr>
          <w:p>
            <w:pPr>
              <w:pStyle w:val="Compact"/>
              <w:spacing w:after="60"/>
            </w:pPr>
            <w:r>
              <w:rPr>
                <w:rFonts w:ascii="Times New Roman" w:hAnsi="Times New Roman" w:eastAsia="Times New Roman"/>
                <w:sz w:val="18"/>
              </w:rPr>
              <w:t xml:space="preserve">Structured component result</w:t>
            </w:r>
          </w:p>
        </w:tc>
        <w:tc>
          <w:tcPr>
            <w:tcW w:type="dxa" w:w="3182"/>
            <w:shd w:fill="FFFFFF" w:val="clear"/>
          </w:tcPr>
          <w:p>
            <w:pPr>
              <w:pStyle w:val="Compact"/>
              <w:spacing w:after="60"/>
            </w:pPr>
            <w:r>
              <w:rPr>
                <w:rFonts w:ascii="Times New Roman" w:hAnsi="Times New Roman" w:eastAsia="Times New Roman"/>
                <w:sz w:val="18"/>
              </w:rPr>
              <w:t xml:space="preserve">Do not equate</w:t>
            </w:r>
            <w:r>
              <w:rPr>
                <w:rFonts w:ascii="Times New Roman" w:hAnsi="Times New Roman" w:eastAsia="Times New Roman"/>
                <w:sz w:val="18"/>
              </w:rPr>
              <w:t xml:space="preserve"> </w:t>
            </w:r>
            <m:oMath>
              <m:sSub>
                <m:e>
                  <m:r>
                    <m:t>N</m:t>
                  </m:r>
                </m:e>
                <m:sub>
                  <m:r>
                    <m:t>2</m:t>
                  </m:r>
                </m:sub>
              </m:sSub>
            </m:oMath>
            <w:r>
              <w:rPr>
                <w:rFonts w:ascii="Times New Roman" w:hAnsi="Times New Roman" w:eastAsia="Times New Roman"/>
                <w:sz w:val="18"/>
              </w:rPr>
              <w:t xml:space="preserve"> </w:t>
            </w:r>
            <w:r>
              <w:rPr>
                <w:rFonts w:ascii="Times New Roman" w:hAnsi="Times New Roman" w:eastAsia="Times New Roman"/>
                <w:sz w:val="18"/>
              </w:rPr>
              <w:t xml:space="preserve">with consciousness.</w:t>
            </w:r>
          </w:p>
        </w:tc>
      </w:tr>
    </w:tbl>
    <w:bookmarkStart w:id="114" w:name="appendix-b.1-compact-algorithm"/>
    <w:p>
      <w:pPr>
        <w:pStyle w:val="Heading3"/>
      </w:pPr>
      <w:r>
        <w:t xml:space="preserve">Appendix B.1 Compact algorithm</w:t>
      </w:r>
    </w:p>
    <w:p>
      <w:pPr>
        <w:pStyle w:val="Compact"/>
        <w:numPr>
          <w:ilvl w:val="0"/>
          <w:numId w:val="1006"/>
        </w:numPr>
        <w:spacing w:line="228" w:lineRule="auto" w:after="20"/>
      </w:pPr>
      <w:r>
        <w:rPr>
          <w:sz w:val="19"/>
        </w:rPr>
        <w:t xml:space="preserve">Freeze the boundary-qualified system and analysis specification.</w:t>
      </w:r>
    </w:p>
    <w:p>
      <w:pPr>
        <w:pStyle w:val="Compact"/>
        <w:numPr>
          <w:ilvl w:val="0"/>
          <w:numId w:val="1006"/>
        </w:numPr>
        <w:spacing w:line="228" w:lineRule="auto" w:after="20"/>
      </w:pPr>
      <w:r>
        <w:rPr>
          <w:sz w:val="19"/>
        </w:rPr>
        <w:t xml:space="preserve">Split calibration and critical-test data.</w:t>
      </w:r>
    </w:p>
    <w:p>
      <w:pPr>
        <w:pStyle w:val="Compact"/>
        <w:numPr>
          <w:ilvl w:val="0"/>
          <w:numId w:val="1006"/>
        </w:numPr>
        <w:spacing w:line="228" w:lineRule="auto" w:after="20"/>
      </w:pPr>
      <w:r>
        <w:rPr>
          <w:sz w:val="19"/>
        </w:rPr>
        <w:t xml:space="preserve">Build recipient classes from calibration interventions that exclude the target content.</w:t>
      </w:r>
    </w:p>
    <w:p>
      <w:pPr>
        <w:pStyle w:val="Compact"/>
        <w:numPr>
          <w:ilvl w:val="0"/>
          <w:numId w:val="1006"/>
        </w:numPr>
        <w:spacing w:line="228" w:lineRule="auto" w:after="20"/>
      </w:pPr>
      <w:r>
        <w:rPr>
          <w:sz w:val="19"/>
        </w:rPr>
        <w:t xml:space="preserve">Define matched target and control interventions; validate source fidelity and leakage controls.</w:t>
      </w:r>
    </w:p>
    <w:p>
      <w:pPr>
        <w:pStyle w:val="Compact"/>
        <w:numPr>
          <w:ilvl w:val="0"/>
          <w:numId w:val="1006"/>
        </w:numPr>
        <w:spacing w:line="228" w:lineRule="auto" w:after="20"/>
      </w:pPr>
      <w:r>
        <w:rPr>
          <w:sz w:val="19"/>
        </w:rPr>
        <w:t xml:space="preserve">Freeze burden-bounded contexts, context weights, and the robustness threshold.</w:t>
      </w:r>
    </w:p>
    <w:p>
      <w:pPr>
        <w:pStyle w:val="Compact"/>
        <w:numPr>
          <w:ilvl w:val="0"/>
          <w:numId w:val="1006"/>
        </w:numPr>
        <w:spacing w:line="228" w:lineRule="auto" w:after="20"/>
      </w:pPr>
      <w:r>
        <w:rPr>
          <w:sz w:val="19"/>
        </w:rPr>
        <w:t xml:space="preserve">Estimate class-specific content effects, latency, and context robustness with uncertainty.</w:t>
      </w:r>
    </w:p>
    <w:p>
      <w:pPr>
        <w:pStyle w:val="Compact"/>
        <w:numPr>
          <w:ilvl w:val="0"/>
          <w:numId w:val="1006"/>
        </w:numPr>
        <w:spacing w:line="228" w:lineRule="auto" w:after="20"/>
      </w:pPr>
      <w:r>
        <w:rPr>
          <w:sz w:val="19"/>
        </w:rPr>
        <w:t xml:space="preserve">Estimate selectivity against matched nulls and route dependence under interruption.</w:t>
      </w:r>
    </w:p>
    <w:p>
      <w:pPr>
        <w:pStyle w:val="Compact"/>
        <w:numPr>
          <w:ilvl w:val="0"/>
          <w:numId w:val="1006"/>
        </w:numPr>
        <w:spacing w:line="228" w:lineRule="auto" w:after="20"/>
      </w:pPr>
      <w:r>
        <w:rPr>
          <w:sz w:val="19"/>
        </w:rPr>
        <w:t xml:space="preserve">Mark a class qualifying only when every class-level gate passes.</w:t>
      </w:r>
    </w:p>
    <w:p>
      <w:pPr>
        <w:pStyle w:val="Compact"/>
        <w:numPr>
          <w:ilvl w:val="0"/>
          <w:numId w:val="1006"/>
        </w:numPr>
        <w:spacing w:line="228" w:lineRule="auto" w:after="20"/>
      </w:pPr>
      <w:r>
        <w:rPr>
          <w:sz w:val="19"/>
        </w:rPr>
        <w:t xml:space="preserve">Compute weighted coverage, class count, and diversity evenness.</w:t>
      </w:r>
    </w:p>
    <w:p>
      <w:pPr>
        <w:pStyle w:val="Compact"/>
        <w:numPr>
          <w:ilvl w:val="0"/>
          <w:numId w:val="1006"/>
        </w:numPr>
        <w:spacing w:line="228" w:lineRule="auto" w:after="20"/>
      </w:pPr>
      <w:r>
        <w:rPr>
          <w:sz w:val="19"/>
        </w:rPr>
        <w:t xml:space="preserve">Repeat after excluding report and executive classes.</w:t>
      </w:r>
    </w:p>
    <w:p>
      <w:pPr>
        <w:pStyle w:val="Compact"/>
        <w:numPr>
          <w:ilvl w:val="0"/>
          <w:numId w:val="1006"/>
        </w:numPr>
        <w:spacing w:line="228" w:lineRule="auto" w:after="20"/>
      </w:pPr>
      <w:r>
        <w:rPr>
          <w:sz w:val="19"/>
        </w:rPr>
        <w:t xml:space="preserve">Stress-test reasonable specifications and issue the four-outcome result.</w:t>
      </w:r>
    </w:p>
    <w:bookmarkEnd w:id="114"/>
    <w:bookmarkEnd w:id="115"/>
    <w:bookmarkStart w:id="116" w:name="appendix-c-preregistration-template"/>
    <w:p>
      <w:pPr>
        <w:pStyle w:val="Heading2"/>
        <w:pageBreakBefore/>
      </w:pPr>
      <w:r>
        <w:t xml:space="preserve">Appendix C: Preregistration template</w:t>
      </w:r>
    </w:p>
    <w:tbl>
      <w:tblPr>
        <w:tblW w:type="pct" w:w="5000"/>
        <w:jc w:val="center"/>
        <w:tblLayout w:type="fixed"/>
        <w:tblLook w:firstRow="1" w:lastRow="0" w:firstColumn="0" w:lastColumn="0" w:noHBand="0" w:noVBand="0" w:val="0020"/>
      </w:tblPr>
      <w:tblGrid>
        <w:gridCol w:w="1821"/>
        <w:gridCol w:w="6098"/>
      </w:tblGrid>
      <w:tr>
        <w:trPr>
          <w:tblHeader w:val="on"/>
          <w:cantSplit/>
          <w:tblHeader w:val="true"/>
        </w:trPr>
        <w:tc>
          <w:tcPr>
            <w:tcW w:type="dxa" w:w="2153"/>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Field</w:t>
            </w:r>
          </w:p>
        </w:tc>
        <w:tc>
          <w:tcPr>
            <w:tcW w:type="dxa" w:w="7207"/>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Required entry</w:t>
            </w:r>
          </w:p>
        </w:tc>
      </w:tr>
      <w:tr>
        <w:trPr>
          <w:cantSplit/>
        </w:trPr>
        <w:tc>
          <w:tcPr>
            <w:tcW w:type="dxa" w:w="2153"/>
            <w:shd w:fill="FFFFFF" w:val="clear"/>
          </w:tcPr>
          <w:p>
            <w:pPr>
              <w:pStyle w:val="Compact"/>
              <w:spacing w:after="60"/>
            </w:pPr>
            <w:r>
              <w:rPr>
                <w:rFonts w:ascii="Times New Roman" w:hAnsi="Times New Roman" w:eastAsia="Times New Roman"/>
                <w:sz w:val="18"/>
              </w:rPr>
              <w:t xml:space="preserve">Consciousness target</w:t>
            </w:r>
          </w:p>
        </w:tc>
        <w:tc>
          <w:tcPr>
            <w:tcW w:type="dxa" w:w="7207"/>
            <w:shd w:fill="FFFFFF" w:val="clear"/>
          </w:tcPr>
          <w:p>
            <w:pPr>
              <w:pStyle w:val="Compact"/>
              <w:spacing w:after="60"/>
            </w:pPr>
            <w:r>
              <w:rPr>
                <w:rFonts w:ascii="Times New Roman" w:hAnsi="Times New Roman" w:eastAsia="Times New Roman"/>
                <w:sz w:val="18"/>
              </w:rPr>
              <w:t xml:space="preserve">Minimal phenomenal presence, content consciousness, access, or another explicit target.</w:t>
            </w:r>
          </w:p>
        </w:tc>
      </w:tr>
      <w:tr>
        <w:trPr>
          <w:cantSplit/>
        </w:trPr>
        <w:tc>
          <w:tcPr>
            <w:tcW w:type="dxa" w:w="2153"/>
            <w:shd w:fill="EAF1F6" w:val="clear"/>
          </w:tcPr>
          <w:p>
            <w:pPr>
              <w:pStyle w:val="Compact"/>
              <w:spacing w:after="60"/>
            </w:pPr>
            <w:r>
              <w:rPr>
                <w:rFonts w:ascii="Times New Roman" w:hAnsi="Times New Roman" w:eastAsia="Times New Roman"/>
                <w:sz w:val="18"/>
              </w:rPr>
              <w:t xml:space="preserve">Candidate system</w:t>
            </w:r>
          </w:p>
        </w:tc>
        <w:tc>
          <w:tcPr>
            <w:tcW w:type="dxa" w:w="7207"/>
            <w:shd w:fill="EAF1F6" w:val="clear"/>
          </w:tcPr>
          <w:p>
            <w:pPr>
              <w:pStyle w:val="Compact"/>
              <w:spacing w:after="60"/>
            </w:pPr>
            <w:r>
              <w:rPr>
                <w:rFonts w:ascii="Times New Roman" w:hAnsi="Times New Roman" w:eastAsia="Times New Roman"/>
                <w:sz w:val="18"/>
              </w:rPr>
              <w:t xml:space="preserve">Frozen boundary, interfaces, grain, horizon, and boundary-confidence status.</w:t>
            </w:r>
          </w:p>
        </w:tc>
      </w:tr>
      <w:tr>
        <w:trPr>
          <w:cantSplit/>
        </w:trPr>
        <w:tc>
          <w:tcPr>
            <w:tcW w:type="dxa" w:w="2153"/>
            <w:shd w:fill="FFFFFF" w:val="clear"/>
          </w:tcPr>
          <w:p>
            <w:pPr>
              <w:pStyle w:val="Compact"/>
              <w:spacing w:after="60"/>
            </w:pPr>
            <w:r>
              <w:rPr>
                <w:rFonts w:ascii="Times New Roman" w:hAnsi="Times New Roman" w:eastAsia="Times New Roman"/>
                <w:sz w:val="18"/>
              </w:rPr>
              <w:t xml:space="preserve">Content contrast</w:t>
            </w:r>
          </w:p>
        </w:tc>
        <w:tc>
          <w:tcPr>
            <w:tcW w:type="dxa" w:w="7207"/>
            <w:shd w:fill="FFFFFF" w:val="clear"/>
          </w:tcPr>
          <w:p>
            <w:pPr>
              <w:pStyle w:val="Compact"/>
              <w:spacing w:after="60"/>
            </w:pPr>
            <w:r>
              <w:rPr>
                <w:rFonts w:ascii="Times New Roman" w:hAnsi="Times New Roman" w:eastAsia="Times New Roman"/>
                <w:sz w:val="18"/>
              </w:rPr>
              <w:t xml:space="preserve">Target</w:t>
            </w:r>
            <w:r>
              <w:rPr>
                <w:rFonts w:ascii="Times New Roman" w:hAnsi="Times New Roman" w:eastAsia="Times New Roman"/>
                <w:sz w:val="18"/>
              </w:rPr>
              <w:t xml:space="preserve"> </w:t>
            </w:r>
            <m:oMath>
              <m:r>
                <m:t>c</m:t>
              </m:r>
            </m:oMath>
            <w:r>
              <w:rPr>
                <w:rFonts w:ascii="Times New Roman" w:hAnsi="Times New Roman" w:eastAsia="Times New Roman"/>
                <w:sz w:val="18"/>
              </w:rPr>
              <w:t xml:space="preserve">, control</w:t>
            </w:r>
            <w:r>
              <w:rPr>
                <w:rFonts w:ascii="Times New Roman" w:hAnsi="Times New Roman" w:eastAsia="Times New Roman"/>
                <w:sz w:val="18"/>
              </w:rPr>
              <w:t xml:space="preserve"> </w:t>
            </w:r>
            <m:oMath>
              <m:sSub>
                <m:e>
                  <m:r>
                    <m:t>c</m:t>
                  </m:r>
                </m:e>
                <m:sub>
                  <m:r>
                    <m:t>0</m:t>
                  </m:r>
                </m:sub>
              </m:sSub>
            </m:oMath>
            <w:r>
              <w:rPr>
                <w:rFonts w:ascii="Times New Roman" w:hAnsi="Times New Roman" w:eastAsia="Times New Roman"/>
                <w:sz w:val="18"/>
              </w:rPr>
              <w:t xml:space="preserve">, localization method, source-fidelity test, source-leakage exclusion, and equivalence controls.</w:t>
            </w:r>
          </w:p>
        </w:tc>
      </w:tr>
      <w:tr>
        <w:trPr>
          <w:cantSplit/>
        </w:trPr>
        <w:tc>
          <w:tcPr>
            <w:tcW w:type="dxa" w:w="2153"/>
            <w:shd w:fill="EAF1F6" w:val="clear"/>
          </w:tcPr>
          <w:p>
            <w:pPr>
              <w:pStyle w:val="Compact"/>
              <w:spacing w:after="60"/>
            </w:pPr>
            <w:r>
              <w:rPr>
                <w:rFonts w:ascii="Times New Roman" w:hAnsi="Times New Roman" w:eastAsia="Times New Roman"/>
                <w:sz w:val="18"/>
              </w:rPr>
              <w:t xml:space="preserve">Operating regime</w:t>
            </w:r>
          </w:p>
        </w:tc>
        <w:tc>
          <w:tcPr>
            <w:tcW w:type="dxa" w:w="7207"/>
            <w:shd w:fill="EAF1F6" w:val="clear"/>
          </w:tcPr>
          <w:p>
            <w:pPr>
              <w:pStyle w:val="Compact"/>
              <w:spacing w:after="60"/>
            </w:pPr>
            <w:r>
              <w:rPr>
                <w:rFonts w:ascii="Times New Roman" w:hAnsi="Times New Roman" w:eastAsia="Times New Roman"/>
                <w:sz w:val="18"/>
              </w:rPr>
              <w:t xml:space="preserve">State, task, arousal, viability, stationarity, and exclusion conditions.</w:t>
            </w:r>
          </w:p>
        </w:tc>
      </w:tr>
      <w:tr>
        <w:trPr>
          <w:cantSplit/>
        </w:trPr>
        <w:tc>
          <w:tcPr>
            <w:tcW w:type="dxa" w:w="2153"/>
            <w:shd w:fill="FFFFFF" w:val="clear"/>
          </w:tcPr>
          <w:p>
            <w:pPr>
              <w:pStyle w:val="Compact"/>
              <w:spacing w:after="60"/>
            </w:pPr>
            <w:r>
              <w:rPr>
                <w:rFonts w:ascii="Times New Roman" w:hAnsi="Times New Roman" w:eastAsia="Times New Roman"/>
                <w:sz w:val="18"/>
              </w:rPr>
              <w:t xml:space="preserve">Recipient taxonomy</w:t>
            </w:r>
          </w:p>
        </w:tc>
        <w:tc>
          <w:tcPr>
            <w:tcW w:type="dxa" w:w="7207"/>
            <w:shd w:fill="FFFFFF" w:val="clear"/>
          </w:tcPr>
          <w:p>
            <w:pPr>
              <w:pStyle w:val="Compact"/>
              <w:spacing w:after="60"/>
            </w:pPr>
            <w:r>
              <w:rPr>
                <w:rFonts w:ascii="Times New Roman" w:hAnsi="Times New Roman" w:eastAsia="Times New Roman"/>
                <w:sz w:val="18"/>
              </w:rPr>
              <w:t xml:space="preserve">Calibration interventions, repertoire variables, clustering method,</w:t>
            </w:r>
            <w:r>
              <w:rPr>
                <w:rFonts w:ascii="Times New Roman" w:hAnsi="Times New Roman" w:eastAsia="Times New Roman"/>
                <w:sz w:val="18"/>
              </w:rPr>
              <w:t xml:space="preserve"> </w:t>
            </w:r>
            <m:oMath>
              <m:r>
                <m:t>ξ</m:t>
              </m:r>
            </m:oMath>
            <w:r>
              <w:rPr>
                <w:rFonts w:ascii="Times New Roman" w:hAnsi="Times New Roman" w:eastAsia="Times New Roman"/>
                <w:sz w:val="18"/>
              </w:rPr>
              <w:t xml:space="preserve">, reliability, and held-out rule.</w:t>
            </w:r>
          </w:p>
        </w:tc>
      </w:tr>
      <w:tr>
        <w:trPr>
          <w:cantSplit/>
        </w:trPr>
        <w:tc>
          <w:tcPr>
            <w:tcW w:type="dxa" w:w="2153"/>
            <w:shd w:fill="EAF1F6" w:val="clear"/>
          </w:tcPr>
          <w:p>
            <w:pPr>
              <w:pStyle w:val="Compact"/>
              <w:spacing w:after="60"/>
            </w:pPr>
            <w:r>
              <w:rPr>
                <w:rFonts w:ascii="Times New Roman" w:hAnsi="Times New Roman" w:eastAsia="Times New Roman"/>
                <w:sz w:val="18"/>
              </w:rPr>
              <w:t xml:space="preserve">Admissible contexts</w:t>
            </w:r>
          </w:p>
        </w:tc>
        <w:tc>
          <w:tcPr>
            <w:tcW w:type="dxa" w:w="7207"/>
            <w:shd w:fill="EAF1F6" w:val="clear"/>
          </w:tcPr>
          <w:p>
            <w:pPr>
              <w:pStyle w:val="Compact"/>
              <w:spacing w:after="60"/>
            </w:pPr>
            <w:r>
              <w:rPr>
                <w:rFonts w:ascii="Times New Roman" w:hAnsi="Times New Roman" w:eastAsia="Times New Roman"/>
                <w:sz w:val="18"/>
              </w:rPr>
              <w:t xml:space="preserve">Recipient readiness probes, burden functional</w:t>
            </w:r>
            <w:r>
              <w:rPr>
                <w:rFonts w:ascii="Times New Roman" w:hAnsi="Times New Roman" w:eastAsia="Times New Roman"/>
                <w:sz w:val="18"/>
              </w:rPr>
              <w:t xml:space="preserve"> </w:t>
            </w:r>
            <m:oMath>
              <m:r>
                <m:rPr>
                  <m:sty m:val="p"/>
                </m:rPr>
                <m:t>Γ</m:t>
              </m:r>
            </m:oMath>
            <w:r>
              <w:rPr>
                <w:rFonts w:ascii="Times New Roman" w:hAnsi="Times New Roman" w:eastAsia="Times New Roman"/>
                <w:sz w:val="18"/>
              </w:rPr>
              <w:t xml:space="preserve">, bound</w:t>
            </w:r>
            <w:r>
              <w:rPr>
                <w:rFonts w:ascii="Times New Roman" w:hAnsi="Times New Roman" w:eastAsia="Times New Roman"/>
                <w:sz w:val="18"/>
              </w:rPr>
              <w:t xml:space="preserve"> </w:t>
            </w:r>
            <m:oMath>
              <m:r>
                <m:t>γ</m:t>
              </m:r>
            </m:oMath>
            <w:r>
              <w:rPr>
                <w:rFonts w:ascii="Times New Roman" w:hAnsi="Times New Roman" w:eastAsia="Times New Roman"/>
                <w:sz w:val="18"/>
              </w:rPr>
              <w:t xml:space="preserve">, context weights</w:t>
            </w:r>
            <w:r>
              <w:rPr>
                <w:rFonts w:ascii="Times New Roman" w:hAnsi="Times New Roman" w:eastAsia="Times New Roman"/>
                <w:sz w:val="18"/>
              </w:rPr>
              <w:t xml:space="preserve"> </w:t>
            </w:r>
            <m:oMath>
              <m:sSub>
                <m:e>
                  <m:r>
                    <m:t>ν</m:t>
                  </m:r>
                </m:e>
                <m:sub>
                  <m:r>
                    <m:t>k</m:t>
                  </m:r>
                </m:sub>
              </m:sSub>
            </m:oMath>
            <w:r>
              <w:rPr>
                <w:rFonts w:ascii="Times New Roman" w:hAnsi="Times New Roman" w:eastAsia="Times New Roman"/>
                <w:sz w:val="18"/>
              </w:rPr>
              <w:t xml:space="preserve">, robustness threshold</w:t>
            </w:r>
            <w:r>
              <w:rPr>
                <w:rFonts w:ascii="Times New Roman" w:hAnsi="Times New Roman" w:eastAsia="Times New Roman"/>
                <w:sz w:val="18"/>
              </w:rPr>
              <w:t xml:space="preserve"> </w:t>
            </w:r>
            <m:oMath>
              <m:sSub>
                <m:e>
                  <m:r>
                    <m:t>ρ</m:t>
                  </m:r>
                </m:e>
                <m:sub>
                  <m:r>
                    <m:t>U</m:t>
                  </m:r>
                </m:sub>
              </m:sSub>
            </m:oMath>
            <w:r>
              <w:rPr>
                <w:rFonts w:ascii="Times New Roman" w:hAnsi="Times New Roman" w:eastAsia="Times New Roman"/>
                <w:sz w:val="18"/>
              </w:rPr>
              <w:t xml:space="preserve">, and regime-preservation tests.</w:t>
            </w:r>
          </w:p>
        </w:tc>
      </w:tr>
      <w:tr>
        <w:trPr>
          <w:cantSplit/>
        </w:trPr>
        <w:tc>
          <w:tcPr>
            <w:tcW w:type="dxa" w:w="2153"/>
            <w:shd w:fill="FFFFFF" w:val="clear"/>
          </w:tcPr>
          <w:p>
            <w:pPr>
              <w:pStyle w:val="Compact"/>
              <w:spacing w:after="60"/>
            </w:pPr>
            <w:r>
              <w:rPr>
                <w:rFonts w:ascii="Times New Roman" w:hAnsi="Times New Roman" w:eastAsia="Times New Roman"/>
                <w:sz w:val="18"/>
              </w:rPr>
              <w:t xml:space="preserve">Content interventions</w:t>
            </w:r>
          </w:p>
        </w:tc>
        <w:tc>
          <w:tcPr>
            <w:tcW w:type="dxa" w:w="7207"/>
            <w:shd w:fill="FFFFFF" w:val="clear"/>
          </w:tcPr>
          <w:p>
            <w:pPr>
              <w:pStyle w:val="Compact"/>
              <w:spacing w:after="60"/>
            </w:pPr>
            <w:r>
              <w:rPr>
                <w:rFonts w:ascii="Times New Roman" w:hAnsi="Times New Roman" w:eastAsia="Times New Roman"/>
                <w:sz w:val="18"/>
              </w:rPr>
              <w:t xml:space="preserve">Source variables, magnitude, duration, support, safety, and matched-energy design.</w:t>
            </w:r>
          </w:p>
        </w:tc>
      </w:tr>
      <w:tr>
        <w:trPr>
          <w:cantSplit/>
        </w:trPr>
        <w:tc>
          <w:tcPr>
            <w:tcW w:type="dxa" w:w="2153"/>
            <w:shd w:fill="EAF1F6" w:val="clear"/>
          </w:tcPr>
          <w:p>
            <w:pPr>
              <w:pStyle w:val="Compact"/>
              <w:spacing w:after="60"/>
            </w:pPr>
            <w:r>
              <w:rPr>
                <w:rFonts w:ascii="Times New Roman" w:hAnsi="Times New Roman" w:eastAsia="Times New Roman"/>
                <w:sz w:val="18"/>
              </w:rPr>
              <w:t xml:space="preserve">Response metrics</w:t>
            </w:r>
          </w:p>
        </w:tc>
        <w:tc>
          <w:tcPr>
            <w:tcW w:type="dxa" w:w="7207"/>
            <w:shd w:fill="EAF1F6" w:val="clear"/>
          </w:tcPr>
          <w:p>
            <w:pPr>
              <w:pStyle w:val="Compact"/>
              <w:spacing w:after="60"/>
            </w:pPr>
            <w:r>
              <w:rPr>
                <w:rFonts w:ascii="Times New Roman" w:hAnsi="Times New Roman" w:eastAsia="Times New Roman"/>
                <w:sz w:val="18"/>
              </w:rPr>
              <w:t xml:space="preserve">Class-specific</w:t>
            </w:r>
            <w:r>
              <w:rPr>
                <w:rFonts w:ascii="Times New Roman" w:hAnsi="Times New Roman" w:eastAsia="Times New Roman"/>
                <w:sz w:val="18"/>
              </w:rPr>
              <w:t xml:space="preserve"> </w:t>
            </w:r>
            <m:oMath>
              <m:sSub>
                <m:e>
                  <m:r>
                    <m:t>Y</m:t>
                  </m:r>
                </m:e>
                <m:sub>
                  <m:r>
                    <m:t>k</m:t>
                  </m:r>
                </m:sub>
              </m:sSub>
              <m:r>
                <m:rPr>
                  <m:sty m:val="p"/>
                </m:rPr>
                <m:t>,</m:t>
              </m:r>
              <m:sSub>
                <m:e>
                  <m:r>
                    <m:t>d</m:t>
                  </m:r>
                </m:e>
                <m:sub>
                  <m:r>
                    <m:t>k</m:t>
                  </m:r>
                </m:sub>
              </m:sSub>
              <m:r>
                <m:rPr>
                  <m:sty m:val="p"/>
                </m:rPr>
                <m:t>,</m:t>
              </m:r>
              <m:sSub>
                <m:e>
                  <m:r>
                    <m:t>ϵ</m:t>
                  </m:r>
                </m:e>
                <m:sub>
                  <m:r>
                    <m:t>k</m:t>
                  </m:r>
                </m:sub>
              </m:sSub>
            </m:oMath>
            <w:r>
              <w:rPr>
                <w:rFonts w:ascii="Times New Roman" w:hAnsi="Times New Roman" w:eastAsia="Times New Roman"/>
                <w:sz w:val="18"/>
              </w:rPr>
              <w:t xml:space="preserve"> </w:t>
            </w:r>
            <w:r>
              <w:rPr>
                <w:rFonts w:ascii="Times New Roman" w:hAnsi="Times New Roman" w:eastAsia="Times New Roman"/>
                <w:sz w:val="18"/>
              </w:rPr>
              <w:t xml:space="preserve">and measurement validity.</w:t>
            </w:r>
          </w:p>
        </w:tc>
      </w:tr>
      <w:tr>
        <w:trPr>
          <w:cantSplit/>
        </w:trPr>
        <w:tc>
          <w:tcPr>
            <w:tcW w:type="dxa" w:w="2153"/>
            <w:shd w:fill="FFFFFF" w:val="clear"/>
          </w:tcPr>
          <w:p>
            <w:pPr>
              <w:pStyle w:val="Compact"/>
              <w:spacing w:after="60"/>
            </w:pPr>
            <w:r>
              <w:rPr>
                <w:rFonts w:ascii="Times New Roman" w:hAnsi="Times New Roman" w:eastAsia="Times New Roman"/>
                <w:sz w:val="18"/>
              </w:rPr>
              <w:t xml:space="preserve">Temporal parameters</w:t>
            </w:r>
          </w:p>
        </w:tc>
        <w:tc>
          <w:tcPr>
            <w:tcW w:type="dxa" w:w="7207"/>
            <w:shd w:fill="FFFFFF" w:val="clear"/>
          </w:tcPr>
          <w:p>
            <w:pPr>
              <w:pStyle w:val="Compact"/>
              <w:spacing w:after="60"/>
            </w:pPr>
            <m:oMath>
              <m:r>
                <m:rPr>
                  <m:sty m:val="p"/>
                </m:rPr>
                <m:t>Δ</m:t>
              </m:r>
              <m:r>
                <m:rPr>
                  <m:sty m:val="p"/>
                </m:rPr>
                <m:t>,</m:t>
              </m:r>
              <m:r>
                <m:t>λ</m:t>
              </m:r>
            </m:oMath>
            <w:r>
              <w:rPr>
                <w:rFonts w:ascii="Times New Roman" w:hAnsi="Times New Roman" w:eastAsia="Times New Roman"/>
                <w:sz w:val="18"/>
              </w:rPr>
              <w:t xml:space="preserve">, sampling resolution, and latency uncertainty.</w:t>
            </w:r>
          </w:p>
        </w:tc>
      </w:tr>
      <w:tr>
        <w:trPr>
          <w:cantSplit/>
        </w:trPr>
        <w:tc>
          <w:tcPr>
            <w:tcW w:type="dxa" w:w="2153"/>
            <w:shd w:fill="EAF1F6" w:val="clear"/>
          </w:tcPr>
          <w:p>
            <w:pPr>
              <w:pStyle w:val="Compact"/>
              <w:spacing w:after="60"/>
            </w:pPr>
            <w:r>
              <w:rPr>
                <w:rFonts w:ascii="Times New Roman" w:hAnsi="Times New Roman" w:eastAsia="Times New Roman"/>
                <w:sz w:val="18"/>
              </w:rPr>
              <w:t xml:space="preserve">Specificity controls</w:t>
            </w:r>
          </w:p>
        </w:tc>
        <w:tc>
          <w:tcPr>
            <w:tcW w:type="dxa" w:w="7207"/>
            <w:shd w:fill="EAF1F6" w:val="clear"/>
          </w:tcPr>
          <w:p>
            <w:pPr>
              <w:pStyle w:val="Compact"/>
              <w:spacing w:after="60"/>
            </w:pPr>
            <w:r>
              <w:rPr>
                <w:rFonts w:ascii="Times New Roman" w:hAnsi="Times New Roman" w:eastAsia="Times New Roman"/>
                <w:sz w:val="18"/>
              </w:rPr>
              <w:t xml:space="preserve">Shuffles, phase controls, common input, arousal, volume conduction, and passive spread.</w:t>
            </w:r>
          </w:p>
        </w:tc>
      </w:tr>
      <w:tr>
        <w:trPr>
          <w:cantSplit/>
        </w:trPr>
        <w:tc>
          <w:tcPr>
            <w:tcW w:type="dxa" w:w="2153"/>
            <w:shd w:fill="FFFFFF" w:val="clear"/>
          </w:tcPr>
          <w:p>
            <w:pPr>
              <w:pStyle w:val="Compact"/>
              <w:spacing w:after="60"/>
            </w:pPr>
            <w:r>
              <w:rPr>
                <w:rFonts w:ascii="Times New Roman" w:hAnsi="Times New Roman" w:eastAsia="Times New Roman"/>
                <w:sz w:val="18"/>
              </w:rPr>
              <w:t xml:space="preserve">Route tests</w:t>
            </w:r>
          </w:p>
        </w:tc>
        <w:tc>
          <w:tcPr>
            <w:tcW w:type="dxa" w:w="7207"/>
            <w:shd w:fill="FFFFFF" w:val="clear"/>
          </w:tcPr>
          <w:p>
            <w:pPr>
              <w:pStyle w:val="Compact"/>
              <w:spacing w:after="60"/>
            </w:pPr>
            <w:r>
              <w:rPr>
                <w:rFonts w:ascii="Times New Roman" w:hAnsi="Times New Roman" w:eastAsia="Times New Roman"/>
                <w:sz w:val="18"/>
              </w:rPr>
              <w:t xml:space="preserve">Candidate routes, blocking method, generic support, redundancy coverage, and threshold</w:t>
            </w:r>
            <w:r>
              <w:rPr>
                <w:rFonts w:ascii="Times New Roman" w:hAnsi="Times New Roman" w:eastAsia="Times New Roman"/>
                <w:sz w:val="18"/>
              </w:rPr>
              <w:t xml:space="preserve"> </w:t>
            </w:r>
            <m:oMath>
              <m:r>
                <m:t>r</m:t>
              </m:r>
            </m:oMath>
            <w:r>
              <w:rPr>
                <w:rFonts w:ascii="Times New Roman" w:hAnsi="Times New Roman" w:eastAsia="Times New Roman"/>
                <w:sz w:val="18"/>
              </w:rPr>
              <w:t xml:space="preserve">.</w:t>
            </w:r>
          </w:p>
        </w:tc>
      </w:tr>
      <w:tr>
        <w:trPr>
          <w:cantSplit/>
        </w:trPr>
        <w:tc>
          <w:tcPr>
            <w:tcW w:type="dxa" w:w="2153"/>
            <w:shd w:fill="EAF1F6" w:val="clear"/>
          </w:tcPr>
          <w:p>
            <w:pPr>
              <w:pStyle w:val="Compact"/>
              <w:spacing w:after="60"/>
            </w:pPr>
            <w:r>
              <w:rPr>
                <w:rFonts w:ascii="Times New Roman" w:hAnsi="Times New Roman" w:eastAsia="Times New Roman"/>
                <w:sz w:val="18"/>
              </w:rPr>
              <w:t xml:space="preserve">Diversity rules</w:t>
            </w:r>
          </w:p>
        </w:tc>
        <w:tc>
          <w:tcPr>
            <w:tcW w:type="dxa" w:w="7207"/>
            <w:shd w:fill="EAF1F6" w:val="clear"/>
          </w:tcPr>
          <w:p>
            <w:pPr>
              <w:pStyle w:val="Compact"/>
              <w:spacing w:after="60"/>
            </w:pPr>
            <w:r>
              <w:rPr>
                <w:rFonts w:ascii="Times New Roman" w:hAnsi="Times New Roman" w:eastAsia="Times New Roman"/>
                <w:sz w:val="18"/>
              </w:rPr>
              <w:t xml:space="preserve">Weights</w:t>
            </w:r>
            <w:r>
              <w:rPr>
                <w:rFonts w:ascii="Times New Roman" w:hAnsi="Times New Roman" w:eastAsia="Times New Roman"/>
                <w:sz w:val="18"/>
              </w:rPr>
              <w:t xml:space="preserve"> </w:t>
            </w:r>
            <m:oMath>
              <m:sSub>
                <m:e>
                  <m:r>
                    <m:t>w</m:t>
                  </m:r>
                </m:e>
                <m:sub>
                  <m:r>
                    <m:t>k</m:t>
                  </m:r>
                </m:sub>
              </m:sSub>
            </m:oMath>
            <w:r>
              <w:rPr>
                <w:rFonts w:ascii="Times New Roman" w:hAnsi="Times New Roman" w:eastAsia="Times New Roman"/>
                <w:sz w:val="18"/>
              </w:rPr>
              <w:t xml:space="preserve">, coverage</w:t>
            </w:r>
            <w:r>
              <w:rPr>
                <w:rFonts w:ascii="Times New Roman" w:hAnsi="Times New Roman" w:eastAsia="Times New Roman"/>
                <w:sz w:val="18"/>
              </w:rPr>
              <w:t xml:space="preserve"> </w:t>
            </w:r>
            <m:oMath>
              <m:r>
                <m:t>α</m:t>
              </m:r>
            </m:oMath>
            <w:r>
              <w:rPr>
                <w:rFonts w:ascii="Times New Roman" w:hAnsi="Times New Roman" w:eastAsia="Times New Roman"/>
                <w:sz w:val="18"/>
              </w:rPr>
              <w:t xml:space="preserve">, class count</w:t>
            </w:r>
            <w:r>
              <w:rPr>
                <w:rFonts w:ascii="Times New Roman" w:hAnsi="Times New Roman" w:eastAsia="Times New Roman"/>
                <w:sz w:val="18"/>
              </w:rPr>
              <w:t xml:space="preserve"> </w:t>
            </w:r>
            <m:oMath>
              <m:r>
                <m:t>m</m:t>
              </m:r>
            </m:oMath>
            <w:r>
              <w:rPr>
                <w:rFonts w:ascii="Times New Roman" w:hAnsi="Times New Roman" w:eastAsia="Times New Roman"/>
                <w:sz w:val="18"/>
              </w:rPr>
              <w:t xml:space="preserve">, evenness</w:t>
            </w:r>
            <w:r>
              <w:rPr>
                <w:rFonts w:ascii="Times New Roman" w:hAnsi="Times New Roman" w:eastAsia="Times New Roman"/>
                <w:sz w:val="18"/>
              </w:rPr>
              <w:t xml:space="preserve"> </w:t>
            </w:r>
            <m:oMath>
              <m:r>
                <m:t>η</m:t>
              </m:r>
            </m:oMath>
            <w:r>
              <w:rPr>
                <w:rFonts w:ascii="Times New Roman" w:hAnsi="Times New Roman" w:eastAsia="Times New Roman"/>
                <w:sz w:val="18"/>
              </w:rPr>
              <w:t xml:space="preserve">, and reparcellation checks.</w:t>
            </w:r>
          </w:p>
        </w:tc>
      </w:tr>
      <w:tr>
        <w:trPr>
          <w:cantSplit/>
        </w:trPr>
        <w:tc>
          <w:tcPr>
            <w:tcW w:type="dxa" w:w="2153"/>
            <w:shd w:fill="FFFFFF" w:val="clear"/>
          </w:tcPr>
          <w:p>
            <w:pPr>
              <w:pStyle w:val="Compact"/>
              <w:spacing w:after="60"/>
            </w:pPr>
            <w:r>
              <w:rPr>
                <w:rFonts w:ascii="Times New Roman" w:hAnsi="Times New Roman" w:eastAsia="Times New Roman"/>
                <w:sz w:val="18"/>
              </w:rPr>
              <w:t xml:space="preserve">Access exclusions</w:t>
            </w:r>
          </w:p>
        </w:tc>
        <w:tc>
          <w:tcPr>
            <w:tcW w:type="dxa" w:w="7207"/>
            <w:shd w:fill="FFFFFF" w:val="clear"/>
          </w:tcPr>
          <w:p>
            <w:pPr>
              <w:pStyle w:val="Compact"/>
              <w:spacing w:after="60"/>
            </w:pPr>
            <w:r>
              <w:rPr>
                <w:rFonts w:ascii="Times New Roman" w:hAnsi="Times New Roman" w:eastAsia="Times New Roman"/>
                <w:sz w:val="18"/>
              </w:rPr>
              <w:t xml:space="preserve">Definitions of</w:t>
            </w:r>
            <w:r>
              <w:rPr>
                <w:rFonts w:ascii="Times New Roman" w:hAnsi="Times New Roman" w:eastAsia="Times New Roman"/>
                <w:sz w:val="18"/>
              </w:rPr>
              <w:t xml:space="preserve"> </w:t>
            </w:r>
            <m:oMath>
              <m:sSub>
                <m:e>
                  <m:r>
                    <m:rPr>
                      <m:scr m:val="script"/>
                      <m:sty m:val="p"/>
                    </m:rPr>
                    <m:t>M</m:t>
                  </m:r>
                </m:e>
                <m:sub>
                  <m:r>
                    <m:t>R</m:t>
                  </m:r>
                </m:sub>
              </m:sSub>
              <m:r>
                <m:rPr>
                  <m:sty m:val="p"/>
                </m:rPr>
                <m:t>,</m:t>
              </m:r>
              <m:sSub>
                <m:e>
                  <m:r>
                    <m:rPr>
                      <m:scr m:val="script"/>
                      <m:sty m:val="p"/>
                    </m:rPr>
                    <m:t>M</m:t>
                  </m:r>
                </m:e>
                <m:sub>
                  <m:r>
                    <m:t>E</m:t>
                  </m:r>
                </m:sub>
              </m:sSub>
            </m:oMath>
            <w:r>
              <w:rPr>
                <w:rFonts w:ascii="Times New Roman" w:hAnsi="Times New Roman" w:eastAsia="Times New Roman"/>
                <w:sz w:val="18"/>
              </w:rPr>
              <w:t xml:space="preserve"> </w:t>
            </w:r>
            <w:r>
              <w:rPr>
                <w:rFonts w:ascii="Times New Roman" w:hAnsi="Times New Roman" w:eastAsia="Times New Roman"/>
                <w:sz w:val="18"/>
              </w:rPr>
              <w:t xml:space="preserve">and reduced-family analysis.</w:t>
            </w:r>
          </w:p>
        </w:tc>
      </w:tr>
      <w:tr>
        <w:trPr>
          <w:cantSplit/>
        </w:trPr>
        <w:tc>
          <w:tcPr>
            <w:tcW w:type="dxa" w:w="2153"/>
            <w:shd w:fill="EAF1F6" w:val="clear"/>
          </w:tcPr>
          <w:p>
            <w:pPr>
              <w:pStyle w:val="Compact"/>
              <w:spacing w:after="60"/>
            </w:pPr>
            <w:r>
              <w:rPr>
                <w:rFonts w:ascii="Times New Roman" w:hAnsi="Times New Roman" w:eastAsia="Times New Roman"/>
                <w:sz w:val="18"/>
              </w:rPr>
              <w:t xml:space="preserve">Uncertainty</w:t>
            </w:r>
          </w:p>
        </w:tc>
        <w:tc>
          <w:tcPr>
            <w:tcW w:type="dxa" w:w="7207"/>
            <w:shd w:fill="EAF1F6" w:val="clear"/>
          </w:tcPr>
          <w:p>
            <w:pPr>
              <w:pStyle w:val="Compact"/>
              <w:spacing w:after="60"/>
            </w:pPr>
            <w:r>
              <w:rPr>
                <w:rFonts w:ascii="Times New Roman" w:hAnsi="Times New Roman" w:eastAsia="Times New Roman"/>
                <w:sz w:val="18"/>
              </w:rPr>
              <w:t xml:space="preserve">Confidence or credible bounds,</w:t>
            </w:r>
            <w:r>
              <w:rPr>
                <w:rFonts w:ascii="Times New Roman" w:hAnsi="Times New Roman" w:eastAsia="Times New Roman"/>
                <w:sz w:val="18"/>
              </w:rPr>
              <w:t xml:space="preserve"> </w:t>
            </w:r>
            <m:oMath>
              <m:r>
                <m:t>β</m:t>
              </m:r>
            </m:oMath>
            <w:r>
              <w:rPr>
                <w:rFonts w:ascii="Times New Roman" w:hAnsi="Times New Roman" w:eastAsia="Times New Roman"/>
                <w:sz w:val="18"/>
              </w:rPr>
              <w:t xml:space="preserve">, multiplicity, missing data, and conflict rules.</w:t>
            </w:r>
          </w:p>
        </w:tc>
      </w:tr>
      <w:tr>
        <w:trPr>
          <w:cantSplit/>
        </w:trPr>
        <w:tc>
          <w:tcPr>
            <w:tcW w:type="dxa" w:w="2153"/>
            <w:shd w:fill="FFFFFF" w:val="clear"/>
          </w:tcPr>
          <w:p>
            <w:pPr>
              <w:pStyle w:val="Compact"/>
              <w:spacing w:after="60"/>
            </w:pPr>
            <w:r>
              <w:rPr>
                <w:rFonts w:ascii="Times New Roman" w:hAnsi="Times New Roman" w:eastAsia="Times New Roman"/>
                <w:sz w:val="18"/>
              </w:rPr>
              <w:t xml:space="preserve">Sensitivity</w:t>
            </w:r>
          </w:p>
        </w:tc>
        <w:tc>
          <w:tcPr>
            <w:tcW w:type="dxa" w:w="7207"/>
            <w:shd w:fill="FFFFFF" w:val="clear"/>
          </w:tcPr>
          <w:p>
            <w:pPr>
              <w:pStyle w:val="Compact"/>
              <w:spacing w:after="60"/>
            </w:pPr>
            <w:r>
              <w:rPr>
                <w:rFonts w:ascii="Times New Roman" w:hAnsi="Times New Roman" w:eastAsia="Times New Roman"/>
                <w:sz w:val="18"/>
              </w:rPr>
              <w:t xml:space="preserve">Neighborhood</w:t>
            </w:r>
            <w:r>
              <w:rPr>
                <w:rFonts w:ascii="Times New Roman" w:hAnsi="Times New Roman" w:eastAsia="Times New Roman"/>
                <w:sz w:val="18"/>
              </w:rPr>
              <w:t xml:space="preserve"> </w:t>
            </w:r>
            <m:oMath>
              <m:r>
                <m:rPr>
                  <m:scr m:val="script"/>
                  <m:sty m:val="p"/>
                </m:rPr>
                <m:t>N</m:t>
              </m:r>
              <m:r>
                <m:rPr>
                  <m:sty m:val="p"/>
                </m:rPr>
                <m:t>(</m:t>
              </m:r>
              <m:sSub>
                <m:e>
                  <m:r>
                    <m:rPr>
                      <m:sty m:val="p"/>
                    </m:rPr>
                    <m:t>Θ</m:t>
                  </m:r>
                </m:e>
                <m:sub>
                  <m:r>
                    <m:t>A</m:t>
                  </m:r>
                </m:sub>
              </m:sSub>
              <m:r>
                <m:rPr>
                  <m:sty m:val="p"/>
                </m:rPr>
                <m:t>)</m:t>
              </m:r>
            </m:oMath>
            <w:r>
              <w:rPr>
                <w:rFonts w:ascii="Times New Roman" w:hAnsi="Times New Roman" w:eastAsia="Times New Roman"/>
                <w:sz w:val="18"/>
              </w:rPr>
              <w:t xml:space="preserve">, mappings, weights, and threshold for</w:t>
            </w:r>
            <w:r>
              <w:rPr>
                <w:rFonts w:ascii="Times New Roman" w:hAnsi="Times New Roman" w:eastAsia="Times New Roman"/>
                <w:sz w:val="18"/>
              </w:rPr>
              <w:t xml:space="preserve"> </w:t>
            </w:r>
            <m:oMath>
              <m:sSub>
                <m:e>
                  <m:r>
                    <m:t>R</m:t>
                  </m:r>
                </m:e>
                <m:sub>
                  <m:r>
                    <m:t>A</m:t>
                  </m:r>
                </m:sub>
              </m:sSub>
            </m:oMath>
            <w:r>
              <w:rPr>
                <w:rFonts w:ascii="Times New Roman" w:hAnsi="Times New Roman" w:eastAsia="Times New Roman"/>
                <w:sz w:val="18"/>
              </w:rPr>
              <w:t xml:space="preserve">.</w:t>
            </w:r>
          </w:p>
        </w:tc>
      </w:tr>
      <w:tr>
        <w:trPr>
          <w:cantSplit/>
        </w:trPr>
        <w:tc>
          <w:tcPr>
            <w:tcW w:type="dxa" w:w="2153"/>
            <w:shd w:fill="EAF1F6" w:val="clear"/>
          </w:tcPr>
          <w:p>
            <w:pPr>
              <w:pStyle w:val="Compact"/>
              <w:spacing w:after="60"/>
            </w:pPr>
            <w:r>
              <w:rPr>
                <w:rFonts w:ascii="Times New Roman" w:hAnsi="Times New Roman" w:eastAsia="Times New Roman"/>
                <w:sz w:val="18"/>
              </w:rPr>
              <w:t xml:space="preserve">Reporting</w:t>
            </w:r>
          </w:p>
        </w:tc>
        <w:tc>
          <w:tcPr>
            <w:tcW w:type="dxa" w:w="7207"/>
            <w:shd w:fill="EAF1F6" w:val="clear"/>
          </w:tcPr>
          <w:p>
            <w:pPr>
              <w:pStyle w:val="Compact"/>
              <w:spacing w:after="60"/>
            </w:pPr>
            <w:r>
              <w:rPr>
                <w:rFonts w:ascii="Times New Roman" w:hAnsi="Times New Roman" w:eastAsia="Times New Roman"/>
                <w:sz w:val="18"/>
              </w:rPr>
              <w:t xml:space="preserve">Every class result, failed gate, unresolved test, four-outcome status, and scope limitation.</w:t>
            </w:r>
          </w:p>
        </w:tc>
      </w:tr>
    </w:tbl>
    <w:bookmarkEnd w:id="116"/>
    <w:bookmarkStart w:id="117" w:name="Xc97f86173e8adcab9d056c197548ffe358e6193"/>
    <w:p>
      <w:pPr>
        <w:pStyle w:val="Heading2"/>
        <w:pageBreakBefore/>
      </w:pPr>
      <w:r>
        <w:t xml:space="preserve">Appendix D: Failure modes and corrective controls</w:t>
      </w:r>
    </w:p>
    <w:tbl>
      <w:tblPr>
        <w:tblW w:type="pct" w:w="5000"/>
        <w:jc w:val="center"/>
        <w:tblLayout w:type="fixed"/>
        <w:tblLook w:firstRow="1" w:lastRow="0" w:firstColumn="0" w:lastColumn="0" w:noHBand="0" w:noVBand="0" w:val="0020"/>
      </w:tblPr>
      <w:tblGrid>
        <w:gridCol w:w="1584"/>
        <w:gridCol w:w="3088"/>
        <w:gridCol w:w="3247"/>
      </w:tblGrid>
      <w:tr>
        <w:trPr>
          <w:tblHeader w:val="on"/>
          <w:cantSplit/>
          <w:tblHeader w:val="true"/>
        </w:trPr>
        <w:tc>
          <w:tcPr>
            <w:tcW w:type="dxa" w:w="1872"/>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Failure mode</w:t>
            </w:r>
          </w:p>
        </w:tc>
        <w:tc>
          <w:tcPr>
            <w:tcW w:type="dxa" w:w="3650"/>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Why spread metrics are fooled</w:t>
            </w:r>
          </w:p>
        </w:tc>
        <w:tc>
          <w:tcPr>
            <w:tcW w:type="dxa" w:w="3838"/>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Corrective control</w:t>
            </w:r>
          </w:p>
        </w:tc>
      </w:tr>
      <w:tr>
        <w:trPr>
          <w:cantSplit/>
        </w:trPr>
        <w:tc>
          <w:tcPr>
            <w:tcW w:type="dxa" w:w="1872"/>
            <w:shd w:fill="FFFFFF" w:val="clear"/>
          </w:tcPr>
          <w:p>
            <w:pPr>
              <w:pStyle w:val="Compact"/>
              <w:spacing w:after="60"/>
            </w:pPr>
            <w:r>
              <w:rPr>
                <w:rFonts w:ascii="Times New Roman" w:hAnsi="Times New Roman" w:eastAsia="Times New Roman"/>
                <w:sz w:val="18"/>
              </w:rPr>
              <w:t xml:space="preserve">Common input</w:t>
            </w:r>
          </w:p>
        </w:tc>
        <w:tc>
          <w:tcPr>
            <w:tcW w:type="dxa" w:w="3650"/>
            <w:shd w:fill="FFFFFF" w:val="clear"/>
          </w:tcPr>
          <w:p>
            <w:pPr>
              <w:pStyle w:val="Compact"/>
              <w:spacing w:after="60"/>
            </w:pPr>
            <w:r>
              <w:rPr>
                <w:rFonts w:ascii="Times New Roman" w:hAnsi="Times New Roman" w:eastAsia="Times New Roman"/>
                <w:sz w:val="18"/>
              </w:rPr>
              <w:t xml:space="preserve">Many recipients respond without receiving the content from one another.</w:t>
            </w:r>
          </w:p>
        </w:tc>
        <w:tc>
          <w:tcPr>
            <w:tcW w:type="dxa" w:w="3838"/>
            <w:shd w:fill="FFFFFF" w:val="clear"/>
          </w:tcPr>
          <w:p>
            <w:pPr>
              <w:pStyle w:val="Compact"/>
              <w:spacing w:after="60"/>
            </w:pPr>
            <w:r>
              <w:rPr>
                <w:rFonts w:ascii="Times New Roman" w:hAnsi="Times New Roman" w:eastAsia="Times New Roman"/>
                <w:sz w:val="18"/>
              </w:rPr>
              <w:t xml:space="preserve">Condition or intervene on the common source; test directed route loss.</w:t>
            </w:r>
          </w:p>
        </w:tc>
      </w:tr>
      <w:tr>
        <w:trPr>
          <w:cantSplit/>
        </w:trPr>
        <w:tc>
          <w:tcPr>
            <w:tcW w:type="dxa" w:w="1872"/>
            <w:shd w:fill="EAF1F6" w:val="clear"/>
          </w:tcPr>
          <w:p>
            <w:pPr>
              <w:pStyle w:val="Compact"/>
              <w:spacing w:after="60"/>
            </w:pPr>
            <w:r>
              <w:rPr>
                <w:rFonts w:ascii="Times New Roman" w:hAnsi="Times New Roman" w:eastAsia="Times New Roman"/>
                <w:sz w:val="18"/>
              </w:rPr>
              <w:t xml:space="preserve">Arousal pulse</w:t>
            </w:r>
          </w:p>
        </w:tc>
        <w:tc>
          <w:tcPr>
            <w:tcW w:type="dxa" w:w="3650"/>
            <w:shd w:fill="EAF1F6" w:val="clear"/>
          </w:tcPr>
          <w:p>
            <w:pPr>
              <w:pStyle w:val="Compact"/>
              <w:spacing w:after="60"/>
            </w:pPr>
            <w:r>
              <w:rPr>
                <w:rFonts w:ascii="Times New Roman" w:hAnsi="Times New Roman" w:eastAsia="Times New Roman"/>
                <w:sz w:val="18"/>
              </w:rPr>
              <w:t xml:space="preserve">Global gain changes mimic broad availability.</w:t>
            </w:r>
          </w:p>
        </w:tc>
        <w:tc>
          <w:tcPr>
            <w:tcW w:type="dxa" w:w="3838"/>
            <w:shd w:fill="EAF1F6" w:val="clear"/>
          </w:tcPr>
          <w:p>
            <w:pPr>
              <w:pStyle w:val="Compact"/>
              <w:spacing w:after="60"/>
            </w:pPr>
            <w:r>
              <w:rPr>
                <w:rFonts w:ascii="Times New Roman" w:hAnsi="Times New Roman" w:eastAsia="Times New Roman"/>
                <w:sz w:val="18"/>
              </w:rPr>
              <w:t xml:space="preserve">Match arousal and require content selectivity.</w:t>
            </w:r>
          </w:p>
        </w:tc>
      </w:tr>
      <w:tr>
        <w:trPr>
          <w:cantSplit/>
        </w:trPr>
        <w:tc>
          <w:tcPr>
            <w:tcW w:type="dxa" w:w="1872"/>
            <w:shd w:fill="FFFFFF" w:val="clear"/>
          </w:tcPr>
          <w:p>
            <w:pPr>
              <w:pStyle w:val="Compact"/>
              <w:spacing w:after="60"/>
            </w:pPr>
            <w:r>
              <w:rPr>
                <w:rFonts w:ascii="Times New Roman" w:hAnsi="Times New Roman" w:eastAsia="Times New Roman"/>
                <w:sz w:val="18"/>
              </w:rPr>
              <w:t xml:space="preserve">Volume conduction</w:t>
            </w:r>
          </w:p>
        </w:tc>
        <w:tc>
          <w:tcPr>
            <w:tcW w:type="dxa" w:w="3650"/>
            <w:shd w:fill="FFFFFF" w:val="clear"/>
          </w:tcPr>
          <w:p>
            <w:pPr>
              <w:pStyle w:val="Compact"/>
              <w:spacing w:after="60"/>
            </w:pPr>
            <w:r>
              <w:rPr>
                <w:rFonts w:ascii="Times New Roman" w:hAnsi="Times New Roman" w:eastAsia="Times New Roman"/>
                <w:sz w:val="18"/>
              </w:rPr>
              <w:t xml:space="preserve">One electrical source appears at many sensors.</w:t>
            </w:r>
          </w:p>
        </w:tc>
        <w:tc>
          <w:tcPr>
            <w:tcW w:type="dxa" w:w="3838"/>
            <w:shd w:fill="FFFFFF" w:val="clear"/>
          </w:tcPr>
          <w:p>
            <w:pPr>
              <w:pStyle w:val="Compact"/>
              <w:spacing w:after="60"/>
            </w:pPr>
            <w:r>
              <w:rPr>
                <w:rFonts w:ascii="Times New Roman" w:hAnsi="Times New Roman" w:eastAsia="Times New Roman"/>
                <w:sz w:val="18"/>
              </w:rPr>
              <w:t xml:space="preserve">Source reconstruction, lag structure, and causal perturbation.</w:t>
            </w:r>
          </w:p>
        </w:tc>
      </w:tr>
      <w:tr>
        <w:trPr>
          <w:cantSplit/>
        </w:trPr>
        <w:tc>
          <w:tcPr>
            <w:tcW w:type="dxa" w:w="1872"/>
            <w:shd w:fill="EAF1F6" w:val="clear"/>
          </w:tcPr>
          <w:p>
            <w:pPr>
              <w:pStyle w:val="Compact"/>
              <w:spacing w:after="60"/>
            </w:pPr>
            <w:r>
              <w:rPr>
                <w:rFonts w:ascii="Times New Roman" w:hAnsi="Times New Roman" w:eastAsia="Times New Roman"/>
                <w:sz w:val="18"/>
              </w:rPr>
              <w:t xml:space="preserve">Passive diffusion</w:t>
            </w:r>
          </w:p>
        </w:tc>
        <w:tc>
          <w:tcPr>
            <w:tcW w:type="dxa" w:w="3650"/>
            <w:shd w:fill="EAF1F6" w:val="clear"/>
          </w:tcPr>
          <w:p>
            <w:pPr>
              <w:pStyle w:val="Compact"/>
              <w:spacing w:after="60"/>
            </w:pPr>
            <w:r>
              <w:rPr>
                <w:rFonts w:ascii="Times New Roman" w:hAnsi="Times New Roman" w:eastAsia="Times New Roman"/>
                <w:sz w:val="18"/>
              </w:rPr>
              <w:t xml:space="preserve">Local coupling spreads energy without recipient-specific state change.</w:t>
            </w:r>
          </w:p>
        </w:tc>
        <w:tc>
          <w:tcPr>
            <w:tcW w:type="dxa" w:w="3838"/>
            <w:shd w:fill="EAF1F6" w:val="clear"/>
          </w:tcPr>
          <w:p>
            <w:pPr>
              <w:pStyle w:val="Compact"/>
              <w:spacing w:after="60"/>
            </w:pPr>
            <w:r>
              <w:rPr>
                <w:rFonts w:ascii="Times New Roman" w:hAnsi="Times New Roman" w:eastAsia="Times New Roman"/>
                <w:sz w:val="18"/>
              </w:rPr>
              <w:t xml:space="preserve">Native recipient variables and shuffled-content controls.</w:t>
            </w:r>
          </w:p>
        </w:tc>
      </w:tr>
      <w:tr>
        <w:trPr>
          <w:cantSplit/>
        </w:trPr>
        <w:tc>
          <w:tcPr>
            <w:tcW w:type="dxa" w:w="1872"/>
            <w:shd w:fill="FFFFFF" w:val="clear"/>
          </w:tcPr>
          <w:p>
            <w:pPr>
              <w:pStyle w:val="Compact"/>
              <w:spacing w:after="60"/>
            </w:pPr>
            <w:r>
              <w:rPr>
                <w:rFonts w:ascii="Times New Roman" w:hAnsi="Times New Roman" w:eastAsia="Times New Roman"/>
                <w:sz w:val="18"/>
              </w:rPr>
              <w:t xml:space="preserve">Seizure propagation</w:t>
            </w:r>
          </w:p>
        </w:tc>
        <w:tc>
          <w:tcPr>
            <w:tcW w:type="dxa" w:w="3650"/>
            <w:shd w:fill="FFFFFF" w:val="clear"/>
          </w:tcPr>
          <w:p>
            <w:pPr>
              <w:pStyle w:val="Compact"/>
              <w:spacing w:after="60"/>
            </w:pPr>
            <w:r>
              <w:rPr>
                <w:rFonts w:ascii="Times New Roman" w:hAnsi="Times New Roman" w:eastAsia="Times New Roman"/>
                <w:sz w:val="18"/>
              </w:rPr>
              <w:t xml:space="preserve">Massive recruitment coexists with reduced differentiation.</w:t>
            </w:r>
          </w:p>
        </w:tc>
        <w:tc>
          <w:tcPr>
            <w:tcW w:type="dxa" w:w="3838"/>
            <w:shd w:fill="FFFFFF" w:val="clear"/>
          </w:tcPr>
          <w:p>
            <w:pPr>
              <w:pStyle w:val="Compact"/>
              <w:spacing w:after="60"/>
            </w:pPr>
            <w:r>
              <w:rPr>
                <w:rFonts w:ascii="Times New Roman" w:hAnsi="Times New Roman" w:eastAsia="Times New Roman"/>
                <w:sz w:val="18"/>
              </w:rPr>
              <w:t xml:space="preserve">Diversity, selectivity, and regime-validity gates.</w:t>
            </w:r>
          </w:p>
        </w:tc>
      </w:tr>
      <w:tr>
        <w:trPr>
          <w:cantSplit/>
        </w:trPr>
        <w:tc>
          <w:tcPr>
            <w:tcW w:type="dxa" w:w="1872"/>
            <w:shd w:fill="EAF1F6" w:val="clear"/>
          </w:tcPr>
          <w:p>
            <w:pPr>
              <w:pStyle w:val="Compact"/>
              <w:spacing w:after="60"/>
            </w:pPr>
            <w:r>
              <w:rPr>
                <w:rFonts w:ascii="Times New Roman" w:hAnsi="Times New Roman" w:eastAsia="Times New Roman"/>
                <w:sz w:val="18"/>
              </w:rPr>
              <w:t xml:space="preserve">Reparcellation</w:t>
            </w:r>
          </w:p>
        </w:tc>
        <w:tc>
          <w:tcPr>
            <w:tcW w:type="dxa" w:w="3650"/>
            <w:shd w:fill="EAF1F6" w:val="clear"/>
          </w:tcPr>
          <w:p>
            <w:pPr>
              <w:pStyle w:val="Compact"/>
              <w:spacing w:after="60"/>
            </w:pPr>
            <w:r>
              <w:rPr>
                <w:rFonts w:ascii="Times New Roman" w:hAnsi="Times New Roman" w:eastAsia="Times New Roman"/>
                <w:sz w:val="18"/>
              </w:rPr>
              <w:t xml:space="preserve">One function becomes many counted nodes.</w:t>
            </w:r>
          </w:p>
        </w:tc>
        <w:tc>
          <w:tcPr>
            <w:tcW w:type="dxa" w:w="3838"/>
            <w:shd w:fill="EAF1F6" w:val="clear"/>
          </w:tcPr>
          <w:p>
            <w:pPr>
              <w:pStyle w:val="Compact"/>
              <w:spacing w:after="60"/>
            </w:pPr>
            <w:r>
              <w:rPr>
                <w:rFonts w:ascii="Times New Roman" w:hAnsi="Times New Roman" w:eastAsia="Times New Roman"/>
                <w:sz w:val="18"/>
              </w:rPr>
              <w:t xml:space="preserve">Repertoire-based classes and cross-grain stability.</w:t>
            </w:r>
          </w:p>
        </w:tc>
      </w:tr>
      <w:tr>
        <w:trPr>
          <w:cantSplit/>
        </w:trPr>
        <w:tc>
          <w:tcPr>
            <w:tcW w:type="dxa" w:w="1872"/>
            <w:shd w:fill="FFFFFF" w:val="clear"/>
          </w:tcPr>
          <w:p>
            <w:pPr>
              <w:pStyle w:val="Compact"/>
              <w:spacing w:after="60"/>
            </w:pPr>
            <w:r>
              <w:rPr>
                <w:rFonts w:ascii="Times New Roman" w:hAnsi="Times New Roman" w:eastAsia="Times New Roman"/>
                <w:sz w:val="18"/>
              </w:rPr>
              <w:t xml:space="preserve">Decoder leakage</w:t>
            </w:r>
          </w:p>
        </w:tc>
        <w:tc>
          <w:tcPr>
            <w:tcW w:type="dxa" w:w="3650"/>
            <w:shd w:fill="FFFFFF" w:val="clear"/>
          </w:tcPr>
          <w:p>
            <w:pPr>
              <w:pStyle w:val="Compact"/>
              <w:spacing w:after="60"/>
            </w:pPr>
            <w:r>
              <w:rPr>
                <w:rFonts w:ascii="Times New Roman" w:hAnsi="Times New Roman" w:eastAsia="Times New Roman"/>
                <w:sz w:val="18"/>
              </w:rPr>
              <w:t xml:space="preserve">Shared preprocessing makes content decodable everywhere.</w:t>
            </w:r>
          </w:p>
        </w:tc>
        <w:tc>
          <w:tcPr>
            <w:tcW w:type="dxa" w:w="3838"/>
            <w:shd w:fill="FFFFFF" w:val="clear"/>
          </w:tcPr>
          <w:p>
            <w:pPr>
              <w:pStyle w:val="Compact"/>
              <w:spacing w:after="60"/>
            </w:pPr>
            <w:r>
              <w:rPr>
                <w:rFonts w:ascii="Times New Roman" w:hAnsi="Times New Roman" w:eastAsia="Times New Roman"/>
                <w:sz w:val="18"/>
              </w:rPr>
              <w:t xml:space="preserve">Held-out pipelines, nuisance regression, and independent acquisition.</w:t>
            </w:r>
          </w:p>
        </w:tc>
      </w:tr>
      <w:tr>
        <w:trPr>
          <w:cantSplit/>
        </w:trPr>
        <w:tc>
          <w:tcPr>
            <w:tcW w:type="dxa" w:w="1872"/>
            <w:shd w:fill="EAF1F6" w:val="clear"/>
          </w:tcPr>
          <w:p>
            <w:pPr>
              <w:pStyle w:val="Compact"/>
              <w:spacing w:after="60"/>
            </w:pPr>
            <w:r>
              <w:rPr>
                <w:rFonts w:ascii="Times New Roman" w:hAnsi="Times New Roman" w:eastAsia="Times New Roman"/>
                <w:sz w:val="18"/>
              </w:rPr>
              <w:t xml:space="preserve">Executive bottleneck</w:t>
            </w:r>
          </w:p>
        </w:tc>
        <w:tc>
          <w:tcPr>
            <w:tcW w:type="dxa" w:w="3650"/>
            <w:shd w:fill="EAF1F6" w:val="clear"/>
          </w:tcPr>
          <w:p>
            <w:pPr>
              <w:pStyle w:val="Compact"/>
              <w:spacing w:after="60"/>
            </w:pPr>
            <w:r>
              <w:rPr>
                <w:rFonts w:ascii="Times New Roman" w:hAnsi="Times New Roman" w:eastAsia="Times New Roman"/>
                <w:sz w:val="18"/>
              </w:rPr>
              <w:t xml:space="preserve">One controller touches every module and creates apparent globality.</w:t>
            </w:r>
          </w:p>
        </w:tc>
        <w:tc>
          <w:tcPr>
            <w:tcW w:type="dxa" w:w="3838"/>
            <w:shd w:fill="EAF1F6" w:val="clear"/>
          </w:tcPr>
          <w:p>
            <w:pPr>
              <w:pStyle w:val="Compact"/>
              <w:spacing w:after="60"/>
            </w:pPr>
            <w:r>
              <w:rPr>
                <w:rFonts w:ascii="Times New Roman" w:hAnsi="Times New Roman" w:eastAsia="Times New Roman"/>
                <w:sz w:val="18"/>
              </w:rPr>
              <w:t xml:space="preserve">Executive-excluded recomputation and route interruption.</w:t>
            </w:r>
          </w:p>
        </w:tc>
      </w:tr>
      <w:tr>
        <w:trPr>
          <w:cantSplit/>
        </w:trPr>
        <w:tc>
          <w:tcPr>
            <w:tcW w:type="dxa" w:w="1872"/>
            <w:shd w:fill="FFFFFF" w:val="clear"/>
          </w:tcPr>
          <w:p>
            <w:pPr>
              <w:pStyle w:val="Compact"/>
              <w:spacing w:after="60"/>
            </w:pPr>
            <w:r>
              <w:rPr>
                <w:rFonts w:ascii="Times New Roman" w:hAnsi="Times New Roman" w:eastAsia="Times New Roman"/>
                <w:sz w:val="18"/>
              </w:rPr>
              <w:t xml:space="preserve">Report preparation</w:t>
            </w:r>
          </w:p>
        </w:tc>
        <w:tc>
          <w:tcPr>
            <w:tcW w:type="dxa" w:w="3650"/>
            <w:shd w:fill="FFFFFF" w:val="clear"/>
          </w:tcPr>
          <w:p>
            <w:pPr>
              <w:pStyle w:val="Compact"/>
              <w:spacing w:after="60"/>
            </w:pPr>
            <w:r>
              <w:rPr>
                <w:rFonts w:ascii="Times New Roman" w:hAnsi="Times New Roman" w:eastAsia="Times New Roman"/>
                <w:sz w:val="18"/>
              </w:rPr>
              <w:t xml:space="preserve">Memory, decision, and motor signals inflate reach.</w:t>
            </w:r>
          </w:p>
        </w:tc>
        <w:tc>
          <w:tcPr>
            <w:tcW w:type="dxa" w:w="3838"/>
            <w:shd w:fill="FFFFFF" w:val="clear"/>
          </w:tcPr>
          <w:p>
            <w:pPr>
              <w:pStyle w:val="Compact"/>
              <w:spacing w:after="60"/>
            </w:pPr>
            <w:r>
              <w:rPr>
                <w:rFonts w:ascii="Times New Roman" w:hAnsi="Times New Roman" w:eastAsia="Times New Roman"/>
                <w:sz w:val="18"/>
              </w:rPr>
              <w:t xml:space="preserve">No-report condition and report-channel exclusion.</w:t>
            </w:r>
          </w:p>
        </w:tc>
      </w:tr>
      <w:tr>
        <w:trPr>
          <w:cantSplit/>
        </w:trPr>
        <w:tc>
          <w:tcPr>
            <w:tcW w:type="dxa" w:w="1872"/>
            <w:shd w:fill="EAF1F6" w:val="clear"/>
          </w:tcPr>
          <w:p>
            <w:pPr>
              <w:pStyle w:val="Compact"/>
              <w:spacing w:after="60"/>
            </w:pPr>
            <w:r>
              <w:rPr>
                <w:rFonts w:ascii="Times New Roman" w:hAnsi="Times New Roman" w:eastAsia="Times New Roman"/>
                <w:sz w:val="18"/>
              </w:rPr>
              <w:t xml:space="preserve">Message duplication</w:t>
            </w:r>
          </w:p>
        </w:tc>
        <w:tc>
          <w:tcPr>
            <w:tcW w:type="dxa" w:w="3650"/>
            <w:shd w:fill="EAF1F6" w:val="clear"/>
          </w:tcPr>
          <w:p>
            <w:pPr>
              <w:pStyle w:val="Compact"/>
              <w:spacing w:after="60"/>
            </w:pPr>
            <w:r>
              <w:rPr>
                <w:rFonts w:ascii="Times New Roman" w:hAnsi="Times New Roman" w:eastAsia="Times New Roman"/>
                <w:sz w:val="18"/>
              </w:rPr>
              <w:t xml:space="preserve">A token is copied to idle or identical subscribers.</w:t>
            </w:r>
          </w:p>
        </w:tc>
        <w:tc>
          <w:tcPr>
            <w:tcW w:type="dxa" w:w="3838"/>
            <w:shd w:fill="EAF1F6" w:val="clear"/>
          </w:tcPr>
          <w:p>
            <w:pPr>
              <w:pStyle w:val="Compact"/>
              <w:spacing w:after="60"/>
            </w:pPr>
            <w:r>
              <w:rPr>
                <w:rFonts w:ascii="Times New Roman" w:hAnsi="Times New Roman" w:eastAsia="Times New Roman"/>
                <w:sz w:val="18"/>
              </w:rPr>
              <w:t xml:space="preserve">Require content-sensitive module-specific transitions.</w:t>
            </w:r>
          </w:p>
        </w:tc>
      </w:tr>
      <w:tr>
        <w:trPr>
          <w:cantSplit/>
        </w:trPr>
        <w:tc>
          <w:tcPr>
            <w:tcW w:type="dxa" w:w="1872"/>
            <w:shd w:fill="FFFFFF" w:val="clear"/>
          </w:tcPr>
          <w:p>
            <w:pPr>
              <w:pStyle w:val="Compact"/>
              <w:spacing w:after="60"/>
            </w:pPr>
            <w:r>
              <w:rPr>
                <w:rFonts w:ascii="Times New Roman" w:hAnsi="Times New Roman" w:eastAsia="Times New Roman"/>
                <w:sz w:val="18"/>
              </w:rPr>
              <w:t xml:space="preserve">Context shopping</w:t>
            </w:r>
          </w:p>
        </w:tc>
        <w:tc>
          <w:tcPr>
            <w:tcW w:type="dxa" w:w="3650"/>
            <w:shd w:fill="FFFFFF" w:val="clear"/>
          </w:tcPr>
          <w:p>
            <w:pPr>
              <w:pStyle w:val="Compact"/>
              <w:spacing w:after="60"/>
            </w:pPr>
            <w:r>
              <w:rPr>
                <w:rFonts w:ascii="Times New Roman" w:hAnsi="Times New Roman" w:eastAsia="Times New Roman"/>
                <w:sz w:val="18"/>
              </w:rPr>
              <w:t xml:space="preserve">One rare or engineered preparation produces a large maximum effect.</w:t>
            </w:r>
          </w:p>
        </w:tc>
        <w:tc>
          <w:tcPr>
            <w:tcW w:type="dxa" w:w="3838"/>
            <w:shd w:fill="FFFFFF" w:val="clear"/>
          </w:tcPr>
          <w:p>
            <w:pPr>
              <w:pStyle w:val="Compact"/>
              <w:spacing w:after="60"/>
            </w:pPr>
            <w:r>
              <w:rPr>
                <w:rFonts w:ascii="Times New Roman" w:hAnsi="Times New Roman" w:eastAsia="Times New Roman"/>
                <w:sz w:val="18"/>
              </w:rPr>
              <w:t xml:space="preserve">Freeze</w:t>
            </w:r>
            <w:r>
              <w:rPr>
                <w:rFonts w:ascii="Times New Roman" w:hAnsi="Times New Roman" w:eastAsia="Times New Roman"/>
                <w:sz w:val="18"/>
              </w:rPr>
              <w:t xml:space="preserve"> </w:t>
            </w:r>
            <m:oMath>
              <m:sSubSup>
                <m:e>
                  <m:r>
                    <m:rPr>
                      <m:scr m:val="script"/>
                      <m:sty m:val="p"/>
                    </m:rPr>
                    <m:t>U</m:t>
                  </m:r>
                </m:e>
                <m:sub>
                  <m:r>
                    <m:t>k</m:t>
                  </m:r>
                </m:sub>
                <m:sup>
                  <m:r>
                    <m:t>γ</m:t>
                  </m:r>
                </m:sup>
              </m:sSubSup>
            </m:oMath>
            <w:r>
              <w:rPr>
                <w:rFonts w:ascii="Times New Roman" w:hAnsi="Times New Roman" w:eastAsia="Times New Roman"/>
                <w:sz w:val="18"/>
              </w:rPr>
              <w:t xml:space="preserve">,</w:t>
            </w:r>
            <w:r>
              <w:rPr>
                <w:rFonts w:ascii="Times New Roman" w:hAnsi="Times New Roman" w:eastAsia="Times New Roman"/>
                <w:sz w:val="18"/>
              </w:rPr>
              <w:t xml:space="preserve"> </w:t>
            </w:r>
            <m:oMath>
              <m:sSub>
                <m:e>
                  <m:r>
                    <m:t>ν</m:t>
                  </m:r>
                </m:e>
                <m:sub>
                  <m:r>
                    <m:t>k</m:t>
                  </m:r>
                </m:sub>
              </m:sSub>
            </m:oMath>
            <w:r>
              <w:rPr>
                <w:rFonts w:ascii="Times New Roman" w:hAnsi="Times New Roman" w:eastAsia="Times New Roman"/>
                <w:sz w:val="18"/>
              </w:rPr>
              <w:t xml:space="preserve">, and</w:t>
            </w:r>
            <w:r>
              <w:rPr>
                <w:rFonts w:ascii="Times New Roman" w:hAnsi="Times New Roman" w:eastAsia="Times New Roman"/>
                <w:sz w:val="18"/>
              </w:rPr>
              <w:t xml:space="preserve"> </w:t>
            </w:r>
            <m:oMath>
              <m:sSub>
                <m:e>
                  <m:r>
                    <m:t>ρ</m:t>
                  </m:r>
                </m:e>
                <m:sub>
                  <m:r>
                    <m:t>U</m:t>
                  </m:r>
                </m:sub>
              </m:sSub>
            </m:oMath>
            <w:r>
              <w:rPr>
                <w:rFonts w:ascii="Times New Roman" w:hAnsi="Times New Roman" w:eastAsia="Times New Roman"/>
                <w:sz w:val="18"/>
              </w:rPr>
              <w:t xml:space="preserve"> </w:t>
            </w:r>
            <w:r>
              <w:rPr>
                <w:rFonts w:ascii="Times New Roman" w:hAnsi="Times New Roman" w:eastAsia="Times New Roman"/>
                <w:sz w:val="18"/>
              </w:rPr>
              <w:t xml:space="preserve">before the critical test.</w:t>
            </w:r>
          </w:p>
        </w:tc>
      </w:tr>
      <w:tr>
        <w:trPr>
          <w:cantSplit/>
        </w:trPr>
        <w:tc>
          <w:tcPr>
            <w:tcW w:type="dxa" w:w="1872"/>
            <w:shd w:fill="EAF1F6" w:val="clear"/>
          </w:tcPr>
          <w:p>
            <w:pPr>
              <w:pStyle w:val="Compact"/>
              <w:spacing w:after="60"/>
            </w:pPr>
            <w:r>
              <w:rPr>
                <w:rFonts w:ascii="Times New Roman" w:hAnsi="Times New Roman" w:eastAsia="Times New Roman"/>
                <w:sz w:val="18"/>
              </w:rPr>
              <w:t xml:space="preserve">Source leakage</w:t>
            </w:r>
          </w:p>
        </w:tc>
        <w:tc>
          <w:tcPr>
            <w:tcW w:type="dxa" w:w="3650"/>
            <w:shd w:fill="EAF1F6" w:val="clear"/>
          </w:tcPr>
          <w:p>
            <w:pPr>
              <w:pStyle w:val="Compact"/>
              <w:spacing w:after="60"/>
            </w:pPr>
            <w:r>
              <w:rPr>
                <w:rFonts w:ascii="Times New Roman" w:hAnsi="Times New Roman" w:eastAsia="Times New Roman"/>
                <w:sz w:val="18"/>
              </w:rPr>
              <w:t xml:space="preserve">The injected content is decoded from the manipulated dimensions themselves.</w:t>
            </w:r>
          </w:p>
        </w:tc>
        <w:tc>
          <w:tcPr>
            <w:tcW w:type="dxa" w:w="3838"/>
            <w:shd w:fill="EAF1F6" w:val="clear"/>
          </w:tcPr>
          <w:p>
            <w:pPr>
              <w:pStyle w:val="Compact"/>
              <w:spacing w:after="60"/>
            </w:pPr>
            <w:r>
              <w:rPr>
                <w:rFonts w:ascii="Times New Roman" w:hAnsi="Times New Roman" w:eastAsia="Times New Roman"/>
                <w:sz w:val="18"/>
              </w:rPr>
              <w:t xml:space="preserve">Exclude source dimensions from recipient readouts and use held-out source-only controls.</w:t>
            </w:r>
          </w:p>
        </w:tc>
      </w:tr>
    </w:tbl>
    <w:bookmarkEnd w:id="117"/>
    <w:bookmarkStart w:id="118" w:name="appendix-e-case-analysis-matrix"/>
    <w:p>
      <w:pPr>
        <w:pStyle w:val="Heading2"/>
        <w:pageBreakBefore/>
      </w:pPr>
      <w:r>
        <w:t xml:space="preserve">Appendix E: Case-analysis matrix</w:t>
      </w:r>
    </w:p>
    <w:tbl>
      <w:tblPr>
        <w:tblW w:type="pct" w:w="5000"/>
        <w:jc w:val="center"/>
        <w:tblLayout w:type="fixed"/>
        <w:tblLook w:firstRow="1" w:lastRow="0" w:firstColumn="0" w:lastColumn="0" w:noHBand="0" w:noVBand="0" w:val="0020"/>
      </w:tblPr>
      <w:tblGrid>
        <w:gridCol w:w="1029"/>
        <w:gridCol w:w="2296"/>
        <w:gridCol w:w="2455"/>
        <w:gridCol w:w="2138"/>
      </w:tblGrid>
      <w:tr>
        <w:trPr>
          <w:tblHeader w:val="on"/>
          <w:cantSplit/>
          <w:tblHeader w:val="true"/>
        </w:trPr>
        <w:tc>
          <w:tcPr>
            <w:tcW w:type="dxa" w:w="1217"/>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Case</w:t>
            </w:r>
          </w:p>
        </w:tc>
        <w:tc>
          <w:tcPr>
            <w:tcW w:type="dxa" w:w="2714"/>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Candidate recipient classes</w:t>
            </w:r>
          </w:p>
        </w:tc>
        <w:tc>
          <w:tcPr>
            <w:tcW w:type="dxa" w:w="2902"/>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Report-independent intervention</w:t>
            </w:r>
          </w:p>
        </w:tc>
        <w:tc>
          <w:tcPr>
            <w:tcW w:type="dxa" w:w="2527"/>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Interpretive risk</w:t>
            </w:r>
          </w:p>
        </w:tc>
      </w:tr>
      <w:tr>
        <w:trPr>
          <w:cantSplit/>
        </w:trPr>
        <w:tc>
          <w:tcPr>
            <w:tcW w:type="dxa" w:w="1217"/>
            <w:shd w:fill="FFFFFF" w:val="clear"/>
          </w:tcPr>
          <w:p>
            <w:pPr>
              <w:pStyle w:val="Compact"/>
              <w:spacing w:after="60"/>
            </w:pPr>
            <w:r>
              <w:rPr>
                <w:rFonts w:ascii="Times New Roman" w:hAnsi="Times New Roman" w:eastAsia="Times New Roman"/>
                <w:sz w:val="18"/>
              </w:rPr>
              <w:t xml:space="preserve">Binocular rivalry</w:t>
            </w:r>
          </w:p>
        </w:tc>
        <w:tc>
          <w:tcPr>
            <w:tcW w:type="dxa" w:w="2714"/>
            <w:shd w:fill="FFFFFF" w:val="clear"/>
          </w:tcPr>
          <w:p>
            <w:pPr>
              <w:pStyle w:val="Compact"/>
              <w:spacing w:after="60"/>
            </w:pPr>
            <w:r>
              <w:rPr>
                <w:rFonts w:ascii="Times New Roman" w:hAnsi="Times New Roman" w:eastAsia="Times New Roman"/>
                <w:sz w:val="18"/>
              </w:rPr>
              <w:t xml:space="preserve">Posterior sensory, spatial, orienting, affective, frontal</w:t>
            </w:r>
          </w:p>
        </w:tc>
        <w:tc>
          <w:tcPr>
            <w:tcW w:type="dxa" w:w="2902"/>
            <w:shd w:fill="FFFFFF" w:val="clear"/>
          </w:tcPr>
          <w:p>
            <w:pPr>
              <w:pStyle w:val="Compact"/>
              <w:spacing w:after="60"/>
            </w:pPr>
            <w:r>
              <w:rPr>
                <w:rFonts w:ascii="Times New Roman" w:hAnsi="Times New Roman" w:eastAsia="Times New Roman"/>
                <w:sz w:val="18"/>
              </w:rPr>
              <w:t xml:space="preserve">Rivalry transition or matched local perturbation indexed by involuntary markers</w:t>
            </w:r>
          </w:p>
        </w:tc>
        <w:tc>
          <w:tcPr>
            <w:tcW w:type="dxa" w:w="2527"/>
            <w:shd w:fill="FFFFFF" w:val="clear"/>
          </w:tcPr>
          <w:p>
            <w:pPr>
              <w:pStyle w:val="Compact"/>
              <w:spacing w:after="60"/>
            </w:pPr>
            <w:r>
              <w:rPr>
                <w:rFonts w:ascii="Times New Roman" w:hAnsi="Times New Roman" w:eastAsia="Times New Roman"/>
                <w:sz w:val="18"/>
              </w:rPr>
              <w:t xml:space="preserve">Treating eye movement or frontal activity as constitutive.</w:t>
            </w:r>
          </w:p>
        </w:tc>
      </w:tr>
      <w:tr>
        <w:trPr>
          <w:cantSplit/>
        </w:trPr>
        <w:tc>
          <w:tcPr>
            <w:tcW w:type="dxa" w:w="1217"/>
            <w:shd w:fill="EAF1F6" w:val="clear"/>
          </w:tcPr>
          <w:p>
            <w:pPr>
              <w:pStyle w:val="Compact"/>
              <w:spacing w:after="60"/>
            </w:pPr>
            <w:r>
              <w:rPr>
                <w:rFonts w:ascii="Times New Roman" w:hAnsi="Times New Roman" w:eastAsia="Times New Roman"/>
                <w:sz w:val="18"/>
              </w:rPr>
              <w:t xml:space="preserve">Locked-in state</w:t>
            </w:r>
          </w:p>
        </w:tc>
        <w:tc>
          <w:tcPr>
            <w:tcW w:type="dxa" w:w="2714"/>
            <w:shd w:fill="EAF1F6" w:val="clear"/>
          </w:tcPr>
          <w:p>
            <w:pPr>
              <w:pStyle w:val="Compact"/>
              <w:spacing w:after="60"/>
            </w:pPr>
            <w:r>
              <w:rPr>
                <w:rFonts w:ascii="Times New Roman" w:hAnsi="Times New Roman" w:eastAsia="Times New Roman"/>
                <w:sz w:val="18"/>
              </w:rPr>
              <w:t xml:space="preserve">Auditory, semantic, orienting, autonomic, imagery-related</w:t>
            </w:r>
          </w:p>
        </w:tc>
        <w:tc>
          <w:tcPr>
            <w:tcW w:type="dxa" w:w="2902"/>
            <w:shd w:fill="EAF1F6" w:val="clear"/>
          </w:tcPr>
          <w:p>
            <w:pPr>
              <w:pStyle w:val="Compact"/>
              <w:spacing w:after="60"/>
            </w:pPr>
            <w:r>
              <w:rPr>
                <w:rFonts w:ascii="Times New Roman" w:hAnsi="Times New Roman" w:eastAsia="Times New Roman"/>
                <w:sz w:val="18"/>
              </w:rPr>
              <w:t xml:space="preserve">TMS-EEG, auditory perturbation, or validated model intervention</w:t>
            </w:r>
          </w:p>
        </w:tc>
        <w:tc>
          <w:tcPr>
            <w:tcW w:type="dxa" w:w="2527"/>
            <w:shd w:fill="EAF1F6" w:val="clear"/>
          </w:tcPr>
          <w:p>
            <w:pPr>
              <w:pStyle w:val="Compact"/>
              <w:spacing w:after="60"/>
            </w:pPr>
            <w:r>
              <w:rPr>
                <w:rFonts w:ascii="Times New Roman" w:hAnsi="Times New Roman" w:eastAsia="Times New Roman"/>
                <w:sz w:val="18"/>
              </w:rPr>
              <w:t xml:space="preserve">Converting motor silence into</w:t>
            </w:r>
            <w:r>
              <w:rPr>
                <w:rFonts w:ascii="Times New Roman" w:hAnsi="Times New Roman" w:eastAsia="Times New Roman"/>
                <w:sz w:val="18"/>
              </w:rPr>
              <w:t xml:space="preserve"> </w:t>
            </w:r>
            <m:oMath>
              <m:sSub>
                <m:e>
                  <m:r>
                    <m:t>N</m:t>
                  </m:r>
                </m:e>
                <m:sub>
                  <m:r>
                    <m:t>2</m:t>
                  </m:r>
                </m:sub>
              </m:sSub>
            </m:oMath>
            <w:r>
              <w:rPr>
                <w:rFonts w:ascii="Times New Roman" w:hAnsi="Times New Roman" w:eastAsia="Times New Roman"/>
                <w:sz w:val="18"/>
              </w:rPr>
              <w:t xml:space="preserve"> </w:t>
            </w:r>
            <w:r>
              <w:rPr>
                <w:rFonts w:ascii="Times New Roman" w:hAnsi="Times New Roman" w:eastAsia="Times New Roman"/>
                <w:sz w:val="18"/>
              </w:rPr>
              <w:t xml:space="preserve">failure.</w:t>
            </w:r>
          </w:p>
        </w:tc>
      </w:tr>
      <w:tr>
        <w:trPr>
          <w:cantSplit/>
        </w:trPr>
        <w:tc>
          <w:tcPr>
            <w:tcW w:type="dxa" w:w="1217"/>
            <w:shd w:fill="FFFFFF" w:val="clear"/>
          </w:tcPr>
          <w:p>
            <w:pPr>
              <w:pStyle w:val="Compact"/>
              <w:spacing w:after="60"/>
            </w:pPr>
            <w:r>
              <w:rPr>
                <w:rFonts w:ascii="Times New Roman" w:hAnsi="Times New Roman" w:eastAsia="Times New Roman"/>
                <w:sz w:val="18"/>
              </w:rPr>
              <w:t xml:space="preserve">Dreaming</w:t>
            </w:r>
          </w:p>
        </w:tc>
        <w:tc>
          <w:tcPr>
            <w:tcW w:type="dxa" w:w="2714"/>
            <w:shd w:fill="FFFFFF" w:val="clear"/>
          </w:tcPr>
          <w:p>
            <w:pPr>
              <w:pStyle w:val="Compact"/>
              <w:spacing w:after="60"/>
            </w:pPr>
            <w:r>
              <w:rPr>
                <w:rFonts w:ascii="Times New Roman" w:hAnsi="Times New Roman" w:eastAsia="Times New Roman"/>
                <w:sz w:val="18"/>
              </w:rPr>
              <w:t xml:space="preserve">Internal sensory, affective, spatial, mnemonic, regulatory</w:t>
            </w:r>
          </w:p>
        </w:tc>
        <w:tc>
          <w:tcPr>
            <w:tcW w:type="dxa" w:w="2902"/>
            <w:shd w:fill="FFFFFF" w:val="clear"/>
          </w:tcPr>
          <w:p>
            <w:pPr>
              <w:pStyle w:val="Compact"/>
              <w:spacing w:after="60"/>
            </w:pPr>
            <w:r>
              <w:rPr>
                <w:rFonts w:ascii="Times New Roman" w:hAnsi="Times New Roman" w:eastAsia="Times New Roman"/>
                <w:sz w:val="18"/>
              </w:rPr>
              <w:t xml:space="preserve">Episode-timed perturbation or state-space intervention</w:t>
            </w:r>
          </w:p>
        </w:tc>
        <w:tc>
          <w:tcPr>
            <w:tcW w:type="dxa" w:w="2527"/>
            <w:shd w:fill="FFFFFF" w:val="clear"/>
          </w:tcPr>
          <w:p>
            <w:pPr>
              <w:pStyle w:val="Compact"/>
              <w:spacing w:after="60"/>
            </w:pPr>
            <w:r>
              <w:rPr>
                <w:rFonts w:ascii="Times New Roman" w:hAnsi="Times New Roman" w:eastAsia="Times New Roman"/>
                <w:sz w:val="18"/>
              </w:rPr>
              <w:t xml:space="preserve">Requiring retrospective memory for current availability.</w:t>
            </w:r>
          </w:p>
        </w:tc>
      </w:tr>
      <w:tr>
        <w:trPr>
          <w:cantSplit/>
        </w:trPr>
        <w:tc>
          <w:tcPr>
            <w:tcW w:type="dxa" w:w="1217"/>
            <w:shd w:fill="EAF1F6" w:val="clear"/>
          </w:tcPr>
          <w:p>
            <w:pPr>
              <w:pStyle w:val="Compact"/>
              <w:spacing w:after="60"/>
            </w:pPr>
            <w:r>
              <w:rPr>
                <w:rFonts w:ascii="Times New Roman" w:hAnsi="Times New Roman" w:eastAsia="Times New Roman"/>
                <w:sz w:val="18"/>
              </w:rPr>
              <w:t xml:space="preserve">Infant</w:t>
            </w:r>
          </w:p>
        </w:tc>
        <w:tc>
          <w:tcPr>
            <w:tcW w:type="dxa" w:w="2714"/>
            <w:shd w:fill="EAF1F6" w:val="clear"/>
          </w:tcPr>
          <w:p>
            <w:pPr>
              <w:pStyle w:val="Compact"/>
              <w:spacing w:after="60"/>
            </w:pPr>
            <w:r>
              <w:rPr>
                <w:rFonts w:ascii="Times New Roman" w:hAnsi="Times New Roman" w:eastAsia="Times New Roman"/>
                <w:sz w:val="18"/>
              </w:rPr>
              <w:t xml:space="preserve">Multisensory, orienting, valuation-like, regulatory, action selection</w:t>
            </w:r>
          </w:p>
        </w:tc>
        <w:tc>
          <w:tcPr>
            <w:tcW w:type="dxa" w:w="2902"/>
            <w:shd w:fill="EAF1F6" w:val="clear"/>
          </w:tcPr>
          <w:p>
            <w:pPr>
              <w:pStyle w:val="Compact"/>
              <w:spacing w:after="60"/>
            </w:pPr>
            <w:r>
              <w:rPr>
                <w:rFonts w:ascii="Times New Roman" w:hAnsi="Times New Roman" w:eastAsia="Times New Roman"/>
                <w:sz w:val="18"/>
              </w:rPr>
              <w:t xml:space="preserve">Low-demand sensory perturbation and physiological recording</w:t>
            </w:r>
          </w:p>
        </w:tc>
        <w:tc>
          <w:tcPr>
            <w:tcW w:type="dxa" w:w="2527"/>
            <w:shd w:fill="EAF1F6" w:val="clear"/>
          </w:tcPr>
          <w:p>
            <w:pPr>
              <w:pStyle w:val="Compact"/>
              <w:spacing w:after="60"/>
            </w:pPr>
            <w:r>
              <w:rPr>
                <w:rFonts w:ascii="Times New Roman" w:hAnsi="Times New Roman" w:eastAsia="Times New Roman"/>
                <w:sz w:val="18"/>
              </w:rPr>
              <w:t xml:space="preserve">Importing adult executive taxonomies.</w:t>
            </w:r>
          </w:p>
        </w:tc>
      </w:tr>
      <w:tr>
        <w:trPr>
          <w:cantSplit/>
        </w:trPr>
        <w:tc>
          <w:tcPr>
            <w:tcW w:type="dxa" w:w="1217"/>
            <w:shd w:fill="FFFFFF" w:val="clear"/>
          </w:tcPr>
          <w:p>
            <w:pPr>
              <w:pStyle w:val="Compact"/>
              <w:spacing w:after="60"/>
            </w:pPr>
            <w:r>
              <w:rPr>
                <w:rFonts w:ascii="Times New Roman" w:hAnsi="Times New Roman" w:eastAsia="Times New Roman"/>
                <w:sz w:val="18"/>
              </w:rPr>
              <w:t xml:space="preserve">Nonhuman animal</w:t>
            </w:r>
          </w:p>
        </w:tc>
        <w:tc>
          <w:tcPr>
            <w:tcW w:type="dxa" w:w="2714"/>
            <w:shd w:fill="FFFFFF" w:val="clear"/>
          </w:tcPr>
          <w:p>
            <w:pPr>
              <w:pStyle w:val="Compact"/>
              <w:spacing w:after="60"/>
            </w:pPr>
            <w:r>
              <w:rPr>
                <w:rFonts w:ascii="Times New Roman" w:hAnsi="Times New Roman" w:eastAsia="Times New Roman"/>
                <w:sz w:val="18"/>
              </w:rPr>
              <w:t xml:space="preserve">Species-specific sensory, orienting, homeostatic, action systems</w:t>
            </w:r>
          </w:p>
        </w:tc>
        <w:tc>
          <w:tcPr>
            <w:tcW w:type="dxa" w:w="2902"/>
            <w:shd w:fill="FFFFFF" w:val="clear"/>
          </w:tcPr>
          <w:p>
            <w:pPr>
              <w:pStyle w:val="Compact"/>
              <w:spacing w:after="60"/>
            </w:pPr>
            <w:r>
              <w:rPr>
                <w:rFonts w:ascii="Times New Roman" w:hAnsi="Times New Roman" w:eastAsia="Times New Roman"/>
                <w:sz w:val="18"/>
              </w:rPr>
              <w:t xml:space="preserve">Ecologically valid stimulus and circuit intervention</w:t>
            </w:r>
          </w:p>
        </w:tc>
        <w:tc>
          <w:tcPr>
            <w:tcW w:type="dxa" w:w="2527"/>
            <w:shd w:fill="FFFFFF" w:val="clear"/>
          </w:tcPr>
          <w:p>
            <w:pPr>
              <w:pStyle w:val="Compact"/>
              <w:spacing w:after="60"/>
            </w:pPr>
            <w:r>
              <w:rPr>
                <w:rFonts w:ascii="Times New Roman" w:hAnsi="Times New Roman" w:eastAsia="Times New Roman"/>
                <w:sz w:val="18"/>
              </w:rPr>
              <w:t xml:space="preserve">Treating training failure as unavailable content.</w:t>
            </w:r>
          </w:p>
        </w:tc>
      </w:tr>
      <w:tr>
        <w:trPr>
          <w:cantSplit/>
        </w:trPr>
        <w:tc>
          <w:tcPr>
            <w:tcW w:type="dxa" w:w="1217"/>
            <w:shd w:fill="EAF1F6" w:val="clear"/>
          </w:tcPr>
          <w:p>
            <w:pPr>
              <w:pStyle w:val="Compact"/>
              <w:spacing w:after="60"/>
            </w:pPr>
            <w:r>
              <w:rPr>
                <w:rFonts w:ascii="Times New Roman" w:hAnsi="Times New Roman" w:eastAsia="Times New Roman"/>
                <w:sz w:val="18"/>
              </w:rPr>
              <w:t xml:space="preserve">Thalamocortical</w:t>
            </w:r>
          </w:p>
        </w:tc>
        <w:tc>
          <w:tcPr>
            <w:tcW w:type="dxa" w:w="2714"/>
            <w:shd w:fill="EAF1F6" w:val="clear"/>
          </w:tcPr>
          <w:p>
            <w:pPr>
              <w:pStyle w:val="Compact"/>
              <w:spacing w:after="60"/>
            </w:pPr>
            <w:r>
              <w:rPr>
                <w:rFonts w:ascii="Times New Roman" w:hAnsi="Times New Roman" w:eastAsia="Times New Roman"/>
                <w:sz w:val="18"/>
              </w:rPr>
              <w:t xml:space="preserve">Cortical and subcortical classes across layers and systems</w:t>
            </w:r>
          </w:p>
        </w:tc>
        <w:tc>
          <w:tcPr>
            <w:tcW w:type="dxa" w:w="2902"/>
            <w:shd w:fill="EAF1F6" w:val="clear"/>
          </w:tcPr>
          <w:p>
            <w:pPr>
              <w:pStyle w:val="Compact"/>
              <w:spacing w:after="60"/>
            </w:pPr>
            <w:r>
              <w:rPr>
                <w:rFonts w:ascii="Times New Roman" w:hAnsi="Times New Roman" w:eastAsia="Times New Roman"/>
                <w:sz w:val="18"/>
              </w:rPr>
              <w:t xml:space="preserve">Content-specific thalamic/cortical stimulation and recording</w:t>
            </w:r>
          </w:p>
        </w:tc>
        <w:tc>
          <w:tcPr>
            <w:tcW w:type="dxa" w:w="2527"/>
            <w:shd w:fill="EAF1F6" w:val="clear"/>
          </w:tcPr>
          <w:p>
            <w:pPr>
              <w:pStyle w:val="Compact"/>
              <w:spacing w:after="60"/>
            </w:pPr>
            <w:r>
              <w:rPr>
                <w:rFonts w:ascii="Times New Roman" w:hAnsi="Times New Roman" w:eastAsia="Times New Roman"/>
                <w:sz w:val="18"/>
              </w:rPr>
              <w:t xml:space="preserve">Confusing arousal modulation with content broadcast.</w:t>
            </w:r>
          </w:p>
        </w:tc>
      </w:tr>
      <w:tr>
        <w:trPr>
          <w:cantSplit/>
        </w:trPr>
        <w:tc>
          <w:tcPr>
            <w:tcW w:type="dxa" w:w="1217"/>
            <w:shd w:fill="FFFFFF" w:val="clear"/>
          </w:tcPr>
          <w:p>
            <w:pPr>
              <w:pStyle w:val="Compact"/>
              <w:spacing w:after="60"/>
            </w:pPr>
            <w:r>
              <w:rPr>
                <w:rFonts w:ascii="Times New Roman" w:hAnsi="Times New Roman" w:eastAsia="Times New Roman"/>
                <w:sz w:val="18"/>
              </w:rPr>
              <w:t xml:space="preserve">Split brain</w:t>
            </w:r>
          </w:p>
        </w:tc>
        <w:tc>
          <w:tcPr>
            <w:tcW w:type="dxa" w:w="2714"/>
            <w:shd w:fill="FFFFFF" w:val="clear"/>
          </w:tcPr>
          <w:p>
            <w:pPr>
              <w:pStyle w:val="Compact"/>
              <w:spacing w:after="60"/>
            </w:pPr>
            <w:r>
              <w:rPr>
                <w:rFonts w:ascii="Times New Roman" w:hAnsi="Times New Roman" w:eastAsia="Times New Roman"/>
                <w:sz w:val="18"/>
              </w:rPr>
              <w:t xml:space="preserve">Hemisphere-specific diverse classes</w:t>
            </w:r>
          </w:p>
        </w:tc>
        <w:tc>
          <w:tcPr>
            <w:tcW w:type="dxa" w:w="2902"/>
            <w:shd w:fill="FFFFFF" w:val="clear"/>
          </w:tcPr>
          <w:p>
            <w:pPr>
              <w:pStyle w:val="Compact"/>
              <w:spacing w:after="60"/>
            </w:pPr>
            <w:r>
              <w:rPr>
                <w:rFonts w:ascii="Times New Roman" w:hAnsi="Times New Roman" w:eastAsia="Times New Roman"/>
                <w:sz w:val="18"/>
              </w:rPr>
              <w:t xml:space="preserve">Lateralized content perturbation with cross-cueing controls</w:t>
            </w:r>
          </w:p>
        </w:tc>
        <w:tc>
          <w:tcPr>
            <w:tcW w:type="dxa" w:w="2527"/>
            <w:shd w:fill="FFFFFF" w:val="clear"/>
          </w:tcPr>
          <w:p>
            <w:pPr>
              <w:pStyle w:val="Compact"/>
              <w:spacing w:after="60"/>
            </w:pPr>
            <w:r>
              <w:rPr>
                <w:rFonts w:ascii="Times New Roman" w:hAnsi="Times New Roman" w:eastAsia="Times New Roman"/>
                <w:sz w:val="18"/>
              </w:rPr>
              <w:t xml:space="preserve">Counting union-level nodes after causal disconnection.</w:t>
            </w:r>
          </w:p>
        </w:tc>
      </w:tr>
      <w:tr>
        <w:trPr>
          <w:cantSplit/>
        </w:trPr>
        <w:tc>
          <w:tcPr>
            <w:tcW w:type="dxa" w:w="1217"/>
            <w:shd w:fill="EAF1F6" w:val="clear"/>
          </w:tcPr>
          <w:p>
            <w:pPr>
              <w:pStyle w:val="Compact"/>
              <w:spacing w:after="60"/>
            </w:pPr>
            <w:r>
              <w:rPr>
                <w:rFonts w:ascii="Times New Roman" w:hAnsi="Times New Roman" w:eastAsia="Times New Roman"/>
                <w:sz w:val="18"/>
              </w:rPr>
              <w:t xml:space="preserve">Distributed AI</w:t>
            </w:r>
          </w:p>
        </w:tc>
        <w:tc>
          <w:tcPr>
            <w:tcW w:type="dxa" w:w="2714"/>
            <w:shd w:fill="EAF1F6" w:val="clear"/>
          </w:tcPr>
          <w:p>
            <w:pPr>
              <w:pStyle w:val="Compact"/>
              <w:spacing w:after="60"/>
            </w:pPr>
            <w:r>
              <w:rPr>
                <w:rFonts w:ascii="Times New Roman" w:hAnsi="Times New Roman" w:eastAsia="Times New Roman"/>
                <w:sz w:val="18"/>
              </w:rPr>
              <w:t xml:space="preserve">Model, memory, tools, evaluators, planners, sensors</w:t>
            </w:r>
          </w:p>
        </w:tc>
        <w:tc>
          <w:tcPr>
            <w:tcW w:type="dxa" w:w="2902"/>
            <w:shd w:fill="EAF1F6" w:val="clear"/>
          </w:tcPr>
          <w:p>
            <w:pPr>
              <w:pStyle w:val="Compact"/>
              <w:spacing w:after="60"/>
            </w:pPr>
            <w:r>
              <w:rPr>
                <w:rFonts w:ascii="Times New Roman" w:hAnsi="Times New Roman" w:eastAsia="Times New Roman"/>
                <w:sz w:val="18"/>
              </w:rPr>
              <w:t xml:space="preserve">Latent/token intervention and module-state readback</w:t>
            </w:r>
          </w:p>
        </w:tc>
        <w:tc>
          <w:tcPr>
            <w:tcW w:type="dxa" w:w="2527"/>
            <w:shd w:fill="EAF1F6" w:val="clear"/>
          </w:tcPr>
          <w:p>
            <w:pPr>
              <w:pStyle w:val="Compact"/>
              <w:spacing w:after="60"/>
            </w:pPr>
            <w:r>
              <w:rPr>
                <w:rFonts w:ascii="Times New Roman" w:hAnsi="Times New Roman" w:eastAsia="Times New Roman"/>
                <w:sz w:val="18"/>
              </w:rPr>
              <w:t xml:space="preserve">Counting logs, replicas, or executive calls as recipients.</w:t>
            </w:r>
          </w:p>
        </w:tc>
      </w:tr>
    </w:tbl>
    <w:bookmarkEnd w:id="118"/>
    <w:bookmarkStart w:id="124" w:name="appendix-f-synthetic-worked-examples"/>
    <w:p>
      <w:pPr>
        <w:pStyle w:val="Heading2"/>
        <w:pageBreakBefore/>
      </w:pPr>
      <w:r>
        <w:t xml:space="preserve">Appendix F: Synthetic worked examples</w:t>
      </w:r>
    </w:p>
    <w:p>
      <w:pPr>
        <w:pStyle w:val="FirstParagraph"/>
      </w:pPr>
      <w:r>
        <w:t xml:space="preserve">The following values are illustrative one-sided confidence bounds, not empirical estimates.</w:t>
      </w:r>
    </w:p>
    <w:bookmarkStart w:id="119" w:name="X21ee39151d8a35ad0c749e2527ca79a79a13a0a"/>
    <w:p>
      <w:pPr>
        <w:pStyle w:val="Heading3"/>
      </w:pPr>
      <w:r>
        <w:t xml:space="preserve">Appendix F.1 Recipient-level decision table</w:t>
      </w:r>
    </w:p>
    <w:p>
      <w:pPr>
        <w:pStyle w:val="FirstParagraph"/>
      </w:pPr>
      <w:r>
        <w:t xml:space="preserve">Assume</w:t>
      </w:r>
      <w:r>
        <w:t xml:space="preserve"> </w:t>
      </w:r>
      <m:oMath>
        <m:sSub>
          <m:e>
            <m:r>
              <m:t>ϵ</m:t>
            </m:r>
          </m:e>
          <m:sub>
            <m:r>
              <m:t>k</m:t>
            </m:r>
          </m:sub>
        </m:sSub>
        <m:r>
          <m:rPr>
            <m:sty m:val="p"/>
          </m:rPr>
          <m:t>=</m:t>
        </m:r>
        <m:r>
          <m:t>.20</m:t>
        </m:r>
      </m:oMath>
      <w:r>
        <w:t xml:space="preserve">,</w:t>
      </w:r>
      <w:r>
        <w:t xml:space="preserve"> </w:t>
      </w:r>
      <m:oMath>
        <m:r>
          <m:t>λ</m:t>
        </m:r>
        <m:r>
          <m:rPr>
            <m:sty m:val="p"/>
          </m:rPr>
          <m:t>=</m:t>
        </m:r>
        <m:r>
          <m:t>180</m:t>
        </m:r>
      </m:oMath>
      <w:r>
        <w:t xml:space="preserve"> </w:t>
      </w:r>
      <w:r>
        <w:t xml:space="preserve">ms,</w:t>
      </w:r>
      <w:r>
        <w:t xml:space="preserve"> </w:t>
      </w:r>
      <m:oMath>
        <m:r>
          <m:t>s</m:t>
        </m:r>
        <m:r>
          <m:rPr>
            <m:sty m:val="p"/>
          </m:rPr>
          <m:t>=</m:t>
        </m:r>
        <m:r>
          <m:t>.10</m:t>
        </m:r>
      </m:oMath>
      <w:r>
        <w:t xml:space="preserve">,</w:t>
      </w:r>
      <w:r>
        <w:t xml:space="preserve"> </w:t>
      </w:r>
      <m:oMath>
        <m:r>
          <m:t>r</m:t>
        </m:r>
        <m:r>
          <m:rPr>
            <m:sty m:val="p"/>
          </m:rPr>
          <m:t>=</m:t>
        </m:r>
        <m:r>
          <m:t>.45</m:t>
        </m:r>
      </m:oMath>
      <w:r>
        <w:t xml:space="preserve">, and</w:t>
      </w:r>
      <w:r>
        <w:t xml:space="preserve"> </w:t>
      </w:r>
      <m:oMath>
        <m:sSub>
          <m:e>
            <m:r>
              <m:t>ρ</m:t>
            </m:r>
          </m:e>
          <m:sub>
            <m:r>
              <m:t>U</m:t>
            </m:r>
          </m:sub>
        </m:sSub>
        <m:r>
          <m:rPr>
            <m:sty m:val="p"/>
          </m:rPr>
          <m:t>=</m:t>
        </m:r>
        <m:r>
          <m:t>.70</m:t>
        </m:r>
      </m:oMath>
      <w:r>
        <w:t xml:space="preserve">. Unless otherwise noted, each qualifying class also has a context-robustness lower bound at or above</w:t>
      </w:r>
      <w:r>
        <w:t xml:space="preserve"> </w:t>
      </w:r>
      <m:oMath>
        <m:r>
          <m:t>.70</m:t>
        </m:r>
      </m:oMath>
      <w:r>
        <w:t xml:space="preserve">.</w:t>
      </w:r>
    </w:p>
    <w:tbl>
      <w:tblPr>
        <w:tblW w:type="pct" w:w="5000"/>
        <w:jc w:val="center"/>
        <w:tblLayout w:type="fixed"/>
        <w:tblLook w:firstRow="1" w:lastRow="0" w:firstColumn="0" w:lastColumn="0" w:noHBand="0" w:noVBand="0" w:val="0020"/>
      </w:tblPr>
      <w:tblGrid>
        <w:gridCol w:w="2059"/>
        <w:gridCol w:w="950"/>
        <w:gridCol w:w="1029"/>
        <w:gridCol w:w="950"/>
        <w:gridCol w:w="2930"/>
      </w:tblGrid>
      <w:tr>
        <w:trPr>
          <w:tblHeader w:val="on"/>
          <w:cantSplit/>
          <w:tblHeader w:val="true"/>
        </w:trPr>
        <w:tc>
          <w:tcPr>
            <w:tcW w:type="dxa" w:w="2434"/>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Recipient class</w:t>
            </w:r>
          </w:p>
        </w:tc>
        <w:tc>
          <w:tcPr>
            <w:tcW w:type="dxa" w:w="1123"/>
            <w:shd w:fill="1C2D40" w:val="clear"/>
            <w:tcMar>
              <w:top w:w="100" w:type="dxa"/>
              <w:bottom w:w="55" w:type="dxa"/>
              <w:start w:w="90" w:type="dxa"/>
              <w:end w:w="90" w:type="dxa"/>
            </w:tcMar>
          </w:tcPr>
          <w:p>
            <w:pPr>
              <w:pStyle w:val="Compact"/>
              <w:spacing w:after="20" w:line="226" w:lineRule="auto"/>
              <w:jc w:val="right"/>
            </w:pPr>
            <w:r>
              <w:rPr>
                <w:rFonts w:ascii="Times New Roman" w:hAnsi="Times New Roman" w:eastAsia="Times New Roman"/>
                <w:b/>
                <w:color w:val="FFFFFF"/>
                <w:sz w:val="18"/>
              </w:rPr>
              <w:t xml:space="preserve">Effect LCB</w:t>
            </w:r>
          </w:p>
        </w:tc>
        <w:tc>
          <w:tcPr>
            <w:tcW w:type="dxa" w:w="1217"/>
            <w:shd w:fill="1C2D40" w:val="clear"/>
            <w:tcMar>
              <w:top w:w="100" w:type="dxa"/>
              <w:bottom w:w="55" w:type="dxa"/>
              <w:start w:w="90" w:type="dxa"/>
              <w:end w:w="90" w:type="dxa"/>
            </w:tcMar>
          </w:tcPr>
          <w:p>
            <w:pPr>
              <w:pStyle w:val="Compact"/>
              <w:spacing w:after="20" w:line="226" w:lineRule="auto"/>
              <w:jc w:val="right"/>
            </w:pPr>
            <w:r>
              <w:rPr>
                <w:rFonts w:ascii="Times New Roman" w:hAnsi="Times New Roman" w:eastAsia="Times New Roman"/>
                <w:b/>
                <w:color w:val="FFFFFF"/>
                <w:sz w:val="18"/>
              </w:rPr>
              <w:t xml:space="preserve">Latency UCB</w:t>
            </w:r>
          </w:p>
        </w:tc>
        <w:tc>
          <w:tcPr>
            <w:tcW w:type="dxa" w:w="1123"/>
            <w:shd w:fill="1C2D40" w:val="clear"/>
            <w:tcMar>
              <w:top w:w="100" w:type="dxa"/>
              <w:bottom w:w="55" w:type="dxa"/>
              <w:start w:w="90" w:type="dxa"/>
              <w:end w:w="90" w:type="dxa"/>
            </w:tcMar>
          </w:tcPr>
          <w:p>
            <w:pPr>
              <w:pStyle w:val="Compact"/>
              <w:spacing w:after="20" w:line="226" w:lineRule="auto"/>
              <w:jc w:val="right"/>
            </w:pPr>
            <w:r>
              <w:rPr>
                <w:rFonts w:ascii="Times New Roman" w:hAnsi="Times New Roman" w:eastAsia="Times New Roman"/>
                <w:b/>
                <w:color w:val="FFFFFF"/>
                <w:sz w:val="18"/>
              </w:rPr>
              <w:t xml:space="preserve">Selectivity</w:t>
            </w:r>
          </w:p>
        </w:tc>
        <w:tc>
          <w:tcPr>
            <w:tcW w:type="dxa" w:w="3463"/>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Result</w:t>
            </w:r>
          </w:p>
        </w:tc>
      </w:tr>
      <w:tr>
        <w:trPr>
          <w:cantSplit/>
        </w:trPr>
        <w:tc>
          <w:tcPr>
            <w:tcW w:type="dxa" w:w="2434"/>
            <w:shd w:fill="FFFFFF" w:val="clear"/>
          </w:tcPr>
          <w:p>
            <w:pPr>
              <w:pStyle w:val="Compact"/>
              <w:spacing w:after="60"/>
            </w:pPr>
            <w:r>
              <w:rPr>
                <w:rFonts w:ascii="Times New Roman" w:hAnsi="Times New Roman" w:eastAsia="Times New Roman"/>
                <w:sz w:val="18"/>
              </w:rPr>
              <w:t xml:space="preserve">Posterior object system</w:t>
            </w:r>
          </w:p>
        </w:tc>
        <w:tc>
          <w:tcPr>
            <w:tcW w:type="dxa" w:w="1123"/>
            <w:shd w:fill="FFFFFF" w:val="clear"/>
          </w:tcPr>
          <w:p>
            <w:pPr>
              <w:pStyle w:val="Compact"/>
              <w:spacing w:after="60"/>
              <w:jc w:val="right"/>
            </w:pPr>
            <w:r>
              <w:rPr>
                <w:rFonts w:ascii="Times New Roman" w:hAnsi="Times New Roman" w:eastAsia="Times New Roman"/>
                <w:sz w:val="18"/>
              </w:rPr>
              <w:t xml:space="preserve">.44</w:t>
            </w:r>
          </w:p>
        </w:tc>
        <w:tc>
          <w:tcPr>
            <w:tcW w:type="dxa" w:w="1217"/>
            <w:shd w:fill="FFFFFF" w:val="clear"/>
          </w:tcPr>
          <w:p>
            <w:pPr>
              <w:pStyle w:val="Compact"/>
              <w:spacing w:after="60"/>
              <w:jc w:val="right"/>
            </w:pPr>
            <w:r>
              <w:rPr>
                <w:rFonts w:ascii="Times New Roman" w:hAnsi="Times New Roman" w:eastAsia="Times New Roman"/>
                <w:sz w:val="18"/>
              </w:rPr>
              <w:t xml:space="preserve">92 ms</w:t>
            </w:r>
          </w:p>
        </w:tc>
        <w:tc>
          <w:tcPr>
            <w:tcW w:type="dxa" w:w="1123"/>
            <w:shd w:fill="FFFFFF" w:val="clear"/>
          </w:tcPr>
          <w:p>
            <w:pPr>
              <w:pStyle w:val="Compact"/>
              <w:spacing w:after="60"/>
              <w:jc w:val="right"/>
            </w:pPr>
            <w:r>
              <w:rPr>
                <w:rFonts w:ascii="Times New Roman" w:hAnsi="Times New Roman" w:eastAsia="Times New Roman"/>
                <w:sz w:val="18"/>
              </w:rPr>
              <w:t xml:space="preserve">.31</w:t>
            </w:r>
          </w:p>
        </w:tc>
        <w:tc>
          <w:tcPr>
            <w:tcW w:type="dxa" w:w="3463"/>
            <w:shd w:fill="FFFFFF" w:val="clear"/>
          </w:tcPr>
          <w:p>
            <w:pPr>
              <w:pStyle w:val="Compact"/>
              <w:spacing w:after="60"/>
            </w:pPr>
            <w:r>
              <w:rPr>
                <w:rFonts w:ascii="Times New Roman" w:hAnsi="Times New Roman" w:eastAsia="Times New Roman"/>
                <w:sz w:val="18"/>
              </w:rPr>
              <w:t xml:space="preserve">Qualifies; route LCB .67.</w:t>
            </w:r>
          </w:p>
        </w:tc>
      </w:tr>
      <w:tr>
        <w:trPr>
          <w:cantSplit/>
        </w:trPr>
        <w:tc>
          <w:tcPr>
            <w:tcW w:type="dxa" w:w="2434"/>
            <w:shd w:fill="EAF1F6" w:val="clear"/>
          </w:tcPr>
          <w:p>
            <w:pPr>
              <w:pStyle w:val="Compact"/>
              <w:spacing w:after="60"/>
            </w:pPr>
            <w:r>
              <w:rPr>
                <w:rFonts w:ascii="Times New Roman" w:hAnsi="Times New Roman" w:eastAsia="Times New Roman"/>
                <w:sz w:val="18"/>
              </w:rPr>
              <w:t xml:space="preserve">Spatial-orienting system</w:t>
            </w:r>
          </w:p>
        </w:tc>
        <w:tc>
          <w:tcPr>
            <w:tcW w:type="dxa" w:w="1123"/>
            <w:shd w:fill="EAF1F6" w:val="clear"/>
          </w:tcPr>
          <w:p>
            <w:pPr>
              <w:pStyle w:val="Compact"/>
              <w:spacing w:after="60"/>
              <w:jc w:val="right"/>
            </w:pPr>
            <w:r>
              <w:rPr>
                <w:rFonts w:ascii="Times New Roman" w:hAnsi="Times New Roman" w:eastAsia="Times New Roman"/>
                <w:sz w:val="18"/>
              </w:rPr>
              <w:t xml:space="preserve">.29</w:t>
            </w:r>
          </w:p>
        </w:tc>
        <w:tc>
          <w:tcPr>
            <w:tcW w:type="dxa" w:w="1217"/>
            <w:shd w:fill="EAF1F6" w:val="clear"/>
          </w:tcPr>
          <w:p>
            <w:pPr>
              <w:pStyle w:val="Compact"/>
              <w:spacing w:after="60"/>
              <w:jc w:val="right"/>
            </w:pPr>
            <w:r>
              <w:rPr>
                <w:rFonts w:ascii="Times New Roman" w:hAnsi="Times New Roman" w:eastAsia="Times New Roman"/>
                <w:sz w:val="18"/>
              </w:rPr>
              <w:t xml:space="preserve">138 ms</w:t>
            </w:r>
          </w:p>
        </w:tc>
        <w:tc>
          <w:tcPr>
            <w:tcW w:type="dxa" w:w="1123"/>
            <w:shd w:fill="EAF1F6" w:val="clear"/>
          </w:tcPr>
          <w:p>
            <w:pPr>
              <w:pStyle w:val="Compact"/>
              <w:spacing w:after="60"/>
              <w:jc w:val="right"/>
            </w:pPr>
            <w:r>
              <w:rPr>
                <w:rFonts w:ascii="Times New Roman" w:hAnsi="Times New Roman" w:eastAsia="Times New Roman"/>
                <w:sz w:val="18"/>
              </w:rPr>
              <w:t xml:space="preserve">.18</w:t>
            </w:r>
          </w:p>
        </w:tc>
        <w:tc>
          <w:tcPr>
            <w:tcW w:type="dxa" w:w="3463"/>
            <w:shd w:fill="EAF1F6" w:val="clear"/>
          </w:tcPr>
          <w:p>
            <w:pPr>
              <w:pStyle w:val="Compact"/>
              <w:spacing w:after="60"/>
            </w:pPr>
            <w:r>
              <w:rPr>
                <w:rFonts w:ascii="Times New Roman" w:hAnsi="Times New Roman" w:eastAsia="Times New Roman"/>
                <w:sz w:val="18"/>
              </w:rPr>
              <w:t xml:space="preserve">Qualifies; route LCB .53.</w:t>
            </w:r>
          </w:p>
        </w:tc>
      </w:tr>
      <w:tr>
        <w:trPr>
          <w:cantSplit/>
        </w:trPr>
        <w:tc>
          <w:tcPr>
            <w:tcW w:type="dxa" w:w="2434"/>
            <w:shd w:fill="FFFFFF" w:val="clear"/>
          </w:tcPr>
          <w:p>
            <w:pPr>
              <w:pStyle w:val="Compact"/>
              <w:spacing w:after="60"/>
            </w:pPr>
            <w:r>
              <w:rPr>
                <w:rFonts w:ascii="Times New Roman" w:hAnsi="Times New Roman" w:eastAsia="Times New Roman"/>
                <w:sz w:val="18"/>
              </w:rPr>
              <w:t xml:space="preserve">Affective valuation system</w:t>
            </w:r>
          </w:p>
        </w:tc>
        <w:tc>
          <w:tcPr>
            <w:tcW w:type="dxa" w:w="1123"/>
            <w:shd w:fill="FFFFFF" w:val="clear"/>
          </w:tcPr>
          <w:p>
            <w:pPr>
              <w:pStyle w:val="Compact"/>
              <w:spacing w:after="60"/>
              <w:jc w:val="right"/>
            </w:pPr>
            <w:r>
              <w:rPr>
                <w:rFonts w:ascii="Times New Roman" w:hAnsi="Times New Roman" w:eastAsia="Times New Roman"/>
                <w:sz w:val="18"/>
              </w:rPr>
              <w:t xml:space="preserve">.25</w:t>
            </w:r>
          </w:p>
        </w:tc>
        <w:tc>
          <w:tcPr>
            <w:tcW w:type="dxa" w:w="1217"/>
            <w:shd w:fill="FFFFFF" w:val="clear"/>
          </w:tcPr>
          <w:p>
            <w:pPr>
              <w:pStyle w:val="Compact"/>
              <w:spacing w:after="60"/>
              <w:jc w:val="right"/>
            </w:pPr>
            <w:r>
              <w:rPr>
                <w:rFonts w:ascii="Times New Roman" w:hAnsi="Times New Roman" w:eastAsia="Times New Roman"/>
                <w:sz w:val="18"/>
              </w:rPr>
              <w:t xml:space="preserve">170 ms</w:t>
            </w:r>
          </w:p>
        </w:tc>
        <w:tc>
          <w:tcPr>
            <w:tcW w:type="dxa" w:w="1123"/>
            <w:shd w:fill="FFFFFF" w:val="clear"/>
          </w:tcPr>
          <w:p>
            <w:pPr>
              <w:pStyle w:val="Compact"/>
              <w:spacing w:after="60"/>
              <w:jc w:val="right"/>
            </w:pPr>
            <w:r>
              <w:rPr>
                <w:rFonts w:ascii="Times New Roman" w:hAnsi="Times New Roman" w:eastAsia="Times New Roman"/>
                <w:sz w:val="18"/>
              </w:rPr>
              <w:t xml:space="preserve">.16</w:t>
            </w:r>
          </w:p>
        </w:tc>
        <w:tc>
          <w:tcPr>
            <w:tcW w:type="dxa" w:w="3463"/>
            <w:shd w:fill="FFFFFF" w:val="clear"/>
          </w:tcPr>
          <w:p>
            <w:pPr>
              <w:pStyle w:val="Compact"/>
              <w:spacing w:after="60"/>
            </w:pPr>
            <w:r>
              <w:rPr>
                <w:rFonts w:ascii="Times New Roman" w:hAnsi="Times New Roman" w:eastAsia="Times New Roman"/>
                <w:sz w:val="18"/>
              </w:rPr>
              <w:t xml:space="preserve">Qualifies; route LCB .49.</w:t>
            </w:r>
          </w:p>
        </w:tc>
      </w:tr>
      <w:tr>
        <w:trPr>
          <w:cantSplit/>
        </w:trPr>
        <w:tc>
          <w:tcPr>
            <w:tcW w:type="dxa" w:w="2434"/>
            <w:shd w:fill="EAF1F6" w:val="clear"/>
          </w:tcPr>
          <w:p>
            <w:pPr>
              <w:pStyle w:val="Compact"/>
              <w:spacing w:after="60"/>
            </w:pPr>
            <w:r>
              <w:rPr>
                <w:rFonts w:ascii="Times New Roman" w:hAnsi="Times New Roman" w:eastAsia="Times New Roman"/>
                <w:sz w:val="18"/>
              </w:rPr>
              <w:t xml:space="preserve">Motor report system</w:t>
            </w:r>
          </w:p>
        </w:tc>
        <w:tc>
          <w:tcPr>
            <w:tcW w:type="dxa" w:w="1123"/>
            <w:shd w:fill="EAF1F6" w:val="clear"/>
          </w:tcPr>
          <w:p>
            <w:pPr>
              <w:pStyle w:val="Compact"/>
              <w:spacing w:after="60"/>
              <w:jc w:val="right"/>
            </w:pPr>
            <w:r>
              <w:rPr>
                <w:rFonts w:ascii="Times New Roman" w:hAnsi="Times New Roman" w:eastAsia="Times New Roman"/>
                <w:sz w:val="18"/>
              </w:rPr>
              <w:t xml:space="preserve">.51</w:t>
            </w:r>
          </w:p>
        </w:tc>
        <w:tc>
          <w:tcPr>
            <w:tcW w:type="dxa" w:w="1217"/>
            <w:shd w:fill="EAF1F6" w:val="clear"/>
          </w:tcPr>
          <w:p>
            <w:pPr>
              <w:pStyle w:val="Compact"/>
              <w:spacing w:after="60"/>
              <w:jc w:val="right"/>
            </w:pPr>
            <w:r>
              <w:rPr>
                <w:rFonts w:ascii="Times New Roman" w:hAnsi="Times New Roman" w:eastAsia="Times New Roman"/>
                <w:sz w:val="18"/>
              </w:rPr>
              <w:t xml:space="preserve">210 ms</w:t>
            </w:r>
          </w:p>
        </w:tc>
        <w:tc>
          <w:tcPr>
            <w:tcW w:type="dxa" w:w="1123"/>
            <w:shd w:fill="EAF1F6" w:val="clear"/>
          </w:tcPr>
          <w:p>
            <w:pPr>
              <w:pStyle w:val="Compact"/>
              <w:spacing w:after="60"/>
              <w:jc w:val="right"/>
            </w:pPr>
            <w:r>
              <w:rPr>
                <w:rFonts w:ascii="Times New Roman" w:hAnsi="Times New Roman" w:eastAsia="Times New Roman"/>
                <w:sz w:val="18"/>
              </w:rPr>
              <w:t xml:space="preserve">.33</w:t>
            </w:r>
          </w:p>
        </w:tc>
        <w:tc>
          <w:tcPr>
            <w:tcW w:type="dxa" w:w="3463"/>
            <w:shd w:fill="EAF1F6" w:val="clear"/>
          </w:tcPr>
          <w:p>
            <w:pPr>
              <w:pStyle w:val="Compact"/>
              <w:spacing w:after="60"/>
            </w:pPr>
            <w:r>
              <w:rPr>
                <w:rFonts w:ascii="Times New Roman" w:hAnsi="Times New Roman" w:eastAsia="Times New Roman"/>
                <w:sz w:val="18"/>
              </w:rPr>
              <w:t xml:space="preserve">Fails latency; optional report evidence only.</w:t>
            </w:r>
          </w:p>
        </w:tc>
      </w:tr>
      <w:tr>
        <w:trPr>
          <w:cantSplit/>
        </w:trPr>
        <w:tc>
          <w:tcPr>
            <w:tcW w:type="dxa" w:w="2434"/>
            <w:shd w:fill="FFFFFF" w:val="clear"/>
          </w:tcPr>
          <w:p>
            <w:pPr>
              <w:pStyle w:val="Compact"/>
              <w:spacing w:after="60"/>
            </w:pPr>
            <w:r>
              <w:rPr>
                <w:rFonts w:ascii="Times New Roman" w:hAnsi="Times New Roman" w:eastAsia="Times New Roman"/>
                <w:sz w:val="18"/>
              </w:rPr>
              <w:t xml:space="preserve">Executive control system</w:t>
            </w:r>
          </w:p>
        </w:tc>
        <w:tc>
          <w:tcPr>
            <w:tcW w:type="dxa" w:w="1123"/>
            <w:shd w:fill="FFFFFF" w:val="clear"/>
          </w:tcPr>
          <w:p>
            <w:pPr>
              <w:pStyle w:val="Compact"/>
              <w:spacing w:after="60"/>
              <w:jc w:val="right"/>
            </w:pPr>
            <w:r>
              <w:rPr>
                <w:rFonts w:ascii="Times New Roman" w:hAnsi="Times New Roman" w:eastAsia="Times New Roman"/>
                <w:sz w:val="18"/>
              </w:rPr>
              <w:t xml:space="preserve">.37</w:t>
            </w:r>
          </w:p>
        </w:tc>
        <w:tc>
          <w:tcPr>
            <w:tcW w:type="dxa" w:w="1217"/>
            <w:shd w:fill="FFFFFF" w:val="clear"/>
          </w:tcPr>
          <w:p>
            <w:pPr>
              <w:pStyle w:val="Compact"/>
              <w:spacing w:after="60"/>
              <w:jc w:val="right"/>
            </w:pPr>
            <w:r>
              <w:rPr>
                <w:rFonts w:ascii="Times New Roman" w:hAnsi="Times New Roman" w:eastAsia="Times New Roman"/>
                <w:sz w:val="18"/>
              </w:rPr>
              <w:t xml:space="preserve">155 ms</w:t>
            </w:r>
          </w:p>
        </w:tc>
        <w:tc>
          <w:tcPr>
            <w:tcW w:type="dxa" w:w="1123"/>
            <w:shd w:fill="FFFFFF" w:val="clear"/>
          </w:tcPr>
          <w:p>
            <w:pPr>
              <w:pStyle w:val="Compact"/>
              <w:spacing w:after="60"/>
              <w:jc w:val="right"/>
            </w:pPr>
            <w:r>
              <w:rPr>
                <w:rFonts w:ascii="Times New Roman" w:hAnsi="Times New Roman" w:eastAsia="Times New Roman"/>
                <w:sz w:val="18"/>
              </w:rPr>
              <w:t xml:space="preserve">.21</w:t>
            </w:r>
          </w:p>
        </w:tc>
        <w:tc>
          <w:tcPr>
            <w:tcW w:type="dxa" w:w="3463"/>
            <w:shd w:fill="FFFFFF" w:val="clear"/>
          </w:tcPr>
          <w:p>
            <w:pPr>
              <w:pStyle w:val="Compact"/>
              <w:spacing w:after="60"/>
            </w:pPr>
            <w:r>
              <w:rPr>
                <w:rFonts w:ascii="Times New Roman" w:hAnsi="Times New Roman" w:eastAsia="Times New Roman"/>
                <w:sz w:val="18"/>
              </w:rPr>
              <w:t xml:space="preserve">Qualifies but is excluded in</w:t>
            </w:r>
            <w:r>
              <w:rPr>
                <w:rFonts w:ascii="Times New Roman" w:hAnsi="Times New Roman" w:eastAsia="Times New Roman"/>
                <w:sz w:val="18"/>
              </w:rPr>
              <w:t xml:space="preserve"> </w:t>
            </w:r>
            <m:oMath>
              <m:sSubSup>
                <m:e>
                  <m:r>
                    <m:t>N</m:t>
                  </m:r>
                </m:e>
                <m:sub>
                  <m:r>
                    <m:t>2</m:t>
                  </m:r>
                </m:sub>
                <m:sup>
                  <m:r>
                    <m:rPr>
                      <m:sty m:val="p"/>
                    </m:rPr>
                    <m:t>−</m:t>
                  </m:r>
                  <m:r>
                    <m:t>E</m:t>
                  </m:r>
                </m:sup>
              </m:sSubSup>
            </m:oMath>
            <w:r>
              <w:rPr>
                <w:rFonts w:ascii="Times New Roman" w:hAnsi="Times New Roman" w:eastAsia="Times New Roman"/>
                <w:sz w:val="18"/>
              </w:rPr>
              <w:t xml:space="preserve">.</w:t>
            </w:r>
          </w:p>
        </w:tc>
      </w:tr>
      <w:tr>
        <w:trPr>
          <w:cantSplit/>
        </w:trPr>
        <w:tc>
          <w:tcPr>
            <w:tcW w:type="dxa" w:w="2434"/>
            <w:shd w:fill="EAF1F6" w:val="clear"/>
          </w:tcPr>
          <w:p>
            <w:pPr>
              <w:pStyle w:val="Compact"/>
              <w:spacing w:after="60"/>
            </w:pPr>
            <w:r>
              <w:rPr>
                <w:rFonts w:ascii="Times New Roman" w:hAnsi="Times New Roman" w:eastAsia="Times New Roman"/>
                <w:sz w:val="18"/>
              </w:rPr>
              <w:t xml:space="preserve">Autonomic regulator</w:t>
            </w:r>
          </w:p>
        </w:tc>
        <w:tc>
          <w:tcPr>
            <w:tcW w:type="dxa" w:w="1123"/>
            <w:shd w:fill="EAF1F6" w:val="clear"/>
          </w:tcPr>
          <w:p>
            <w:pPr>
              <w:pStyle w:val="Compact"/>
              <w:spacing w:after="60"/>
              <w:jc w:val="right"/>
            </w:pPr>
            <w:r>
              <w:rPr>
                <w:rFonts w:ascii="Times New Roman" w:hAnsi="Times New Roman" w:eastAsia="Times New Roman"/>
                <w:sz w:val="18"/>
              </w:rPr>
              <w:t xml:space="preserve">[.14,.24]</w:t>
            </w:r>
          </w:p>
        </w:tc>
        <w:tc>
          <w:tcPr>
            <w:tcW w:type="dxa" w:w="1217"/>
            <w:shd w:fill="EAF1F6" w:val="clear"/>
          </w:tcPr>
          <w:p>
            <w:pPr>
              <w:pStyle w:val="Compact"/>
              <w:spacing w:after="60"/>
              <w:jc w:val="right"/>
            </w:pPr>
            <w:r>
              <w:rPr>
                <w:rFonts w:ascii="Times New Roman" w:hAnsi="Times New Roman" w:eastAsia="Times New Roman"/>
                <w:sz w:val="18"/>
              </w:rPr>
              <w:t xml:space="preserve">175 ms</w:t>
            </w:r>
          </w:p>
        </w:tc>
        <w:tc>
          <w:tcPr>
            <w:tcW w:type="dxa" w:w="1123"/>
            <w:shd w:fill="EAF1F6" w:val="clear"/>
          </w:tcPr>
          <w:p>
            <w:pPr>
              <w:pStyle w:val="Compact"/>
              <w:spacing w:after="60"/>
              <w:jc w:val="right"/>
            </w:pPr>
            <w:r>
              <w:rPr>
                <w:rFonts w:ascii="Times New Roman" w:hAnsi="Times New Roman" w:eastAsia="Times New Roman"/>
                <w:sz w:val="18"/>
              </w:rPr>
              <w:t xml:space="preserve">.12</w:t>
            </w:r>
          </w:p>
        </w:tc>
        <w:tc>
          <w:tcPr>
            <w:tcW w:type="dxa" w:w="3463"/>
            <w:shd w:fill="EAF1F6" w:val="clear"/>
          </w:tcPr>
          <w:p>
            <w:pPr>
              <w:pStyle w:val="Compact"/>
              <w:spacing w:after="60"/>
            </w:pPr>
            <w:r>
              <w:rPr>
                <w:rFonts w:ascii="Times New Roman" w:hAnsi="Times New Roman" w:eastAsia="Times New Roman"/>
                <w:sz w:val="18"/>
              </w:rPr>
              <w:t xml:space="preserve">Effect-indeterminate because the interval straddles</w:t>
            </w:r>
            <w:r>
              <w:rPr>
                <w:rFonts w:ascii="Times New Roman" w:hAnsi="Times New Roman" w:eastAsia="Times New Roman"/>
                <w:sz w:val="18"/>
              </w:rPr>
              <w:t xml:space="preserve"> </w:t>
            </w:r>
            <m:oMath>
              <m:sSub>
                <m:e>
                  <m:r>
                    <m:t>ϵ</m:t>
                  </m:r>
                </m:e>
                <m:sub>
                  <m:r>
                    <m:t>k</m:t>
                  </m:r>
                </m:sub>
              </m:sSub>
            </m:oMath>
            <w:r>
              <w:rPr>
                <w:rFonts w:ascii="Times New Roman" w:hAnsi="Times New Roman" w:eastAsia="Times New Roman"/>
                <w:sz w:val="18"/>
              </w:rPr>
              <w:t xml:space="preserve">.</w:t>
            </w:r>
          </w:p>
        </w:tc>
      </w:tr>
    </w:tbl>
    <w:p>
      <w:pPr>
        <w:pStyle w:val="BodyText"/>
      </w:pPr>
      <w:r>
        <w:t xml:space="preserve">If the three nonreport, nonexecutive classes carry weights totaling</w:t>
      </w:r>
      <w:r>
        <w:t xml:space="preserve"> </w:t>
      </w:r>
      <m:oMath>
        <m:r>
          <m:t>.72</m:t>
        </m:r>
        <m:r>
          <m:rPr>
            <m:sty m:val="p"/>
          </m:rPr>
          <m:t>≥</m:t>
        </m:r>
        <m:r>
          <m:t>α</m:t>
        </m:r>
        <m:r>
          <m:rPr>
            <m:sty m:val="p"/>
          </m:rPr>
          <m:t>=</m:t>
        </m:r>
        <m:r>
          <m:t>.65</m:t>
        </m:r>
      </m:oMath>
      <w:r>
        <w:t xml:space="preserve">,</w:t>
      </w:r>
      <w:r>
        <w:t xml:space="preserve"> </w:t>
      </w:r>
      <m:oMath>
        <m:sSub>
          <m:e>
            <m:r>
              <m:t>K</m:t>
            </m:r>
          </m:e>
          <m:sub>
            <m:r>
              <m:t>A</m:t>
            </m:r>
          </m:sub>
        </m:sSub>
        <m:r>
          <m:rPr>
            <m:sty m:val="p"/>
          </m:rPr>
          <m:t>=</m:t>
        </m:r>
        <m:r>
          <m:t>3</m:t>
        </m:r>
        <m:r>
          <m:rPr>
            <m:sty m:val="p"/>
          </m:rPr>
          <m:t>≥</m:t>
        </m:r>
        <m:r>
          <m:t>m</m:t>
        </m:r>
        <m:r>
          <m:rPr>
            <m:sty m:val="p"/>
          </m:rPr>
          <m:t>=</m:t>
        </m:r>
        <m:r>
          <m:t>3</m:t>
        </m:r>
      </m:oMath>
      <w:r>
        <w:t xml:space="preserve">, and</w:t>
      </w:r>
      <w:r>
        <w:t xml:space="preserve"> </w:t>
      </w:r>
      <m:oMath>
        <m:sSub>
          <m:e>
            <m:r>
              <m:t>H</m:t>
            </m:r>
          </m:e>
          <m:sub>
            <m:r>
              <m:t>A</m:t>
            </m:r>
          </m:sub>
        </m:sSub>
        <m:r>
          <m:rPr>
            <m:sty m:val="p"/>
          </m:rPr>
          <m:t>=</m:t>
        </m:r>
        <m:r>
          <m:t>.88</m:t>
        </m:r>
        <m:r>
          <m:rPr>
            <m:sty m:val="p"/>
          </m:rPr>
          <m:t>≥</m:t>
        </m:r>
        <m:r>
          <m:t>η</m:t>
        </m:r>
        <m:r>
          <m:rPr>
            <m:sty m:val="p"/>
          </m:rPr>
          <m:t>=</m:t>
        </m:r>
        <m:r>
          <m:t>.70</m:t>
        </m:r>
      </m:oMath>
      <w:r>
        <w:t xml:space="preserve">, the content can receive a positive</w:t>
      </w:r>
      <w:r>
        <w:t xml:space="preserve"> </w:t>
      </w:r>
      <m:oMath>
        <m:sSub>
          <m:e>
            <m:r>
              <m:t>N</m:t>
            </m:r>
          </m:e>
          <m:sub>
            <m:r>
              <m:t>2</m:t>
            </m:r>
          </m:sub>
        </m:sSub>
      </m:oMath>
      <w:r>
        <w:t xml:space="preserve"> </w:t>
      </w:r>
      <w:r>
        <w:t xml:space="preserve">result despite the report class failing latency. The unresolved autonomic class remains reported but is not needed for the pass.</w:t>
      </w:r>
    </w:p>
    <w:bookmarkEnd w:id="119"/>
    <w:bookmarkStart w:id="120" w:name="X1d4591778f24392aa62bb536411b7787ccb224f"/>
    <w:p>
      <w:pPr>
        <w:pStyle w:val="Heading3"/>
      </w:pPr>
      <w:r>
        <w:t xml:space="preserve">Appendix F.2 Node count versus functional diversity</w:t>
      </w:r>
    </w:p>
    <w:tbl>
      <w:tblPr>
        <w:tblW w:type="pct" w:w="5000"/>
        <w:jc w:val="center"/>
        <w:tblLayout w:type="fixed"/>
        <w:tblLook w:firstRow="1" w:lastRow="0" w:firstColumn="0" w:lastColumn="0" w:noHBand="0" w:noVBand="0" w:val="0020"/>
      </w:tblPr>
      <w:tblGrid>
        <w:gridCol w:w="1663"/>
        <w:gridCol w:w="871"/>
        <w:gridCol w:w="1425"/>
        <w:gridCol w:w="1108"/>
        <w:gridCol w:w="2851"/>
      </w:tblGrid>
      <w:tr>
        <w:trPr>
          <w:tblHeader w:val="on"/>
          <w:cantSplit/>
          <w:tblHeader w:val="true"/>
        </w:trPr>
        <w:tc>
          <w:tcPr>
            <w:tcW w:type="dxa" w:w="1966"/>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Architecture</w:t>
            </w:r>
          </w:p>
        </w:tc>
        <w:tc>
          <w:tcPr>
            <w:tcW w:type="dxa" w:w="1030"/>
            <w:shd w:fill="1C2D40" w:val="clear"/>
            <w:tcMar>
              <w:top w:w="100" w:type="dxa"/>
              <w:bottom w:w="55" w:type="dxa"/>
              <w:start w:w="90" w:type="dxa"/>
              <w:end w:w="90" w:type="dxa"/>
            </w:tcMar>
          </w:tcPr>
          <w:p>
            <w:pPr>
              <w:pStyle w:val="Compact"/>
              <w:spacing w:after="20" w:line="226" w:lineRule="auto"/>
              <w:jc w:val="right"/>
            </w:pPr>
            <w:r>
              <w:rPr>
                <w:rFonts w:ascii="Times New Roman" w:hAnsi="Times New Roman" w:eastAsia="Times New Roman"/>
                <w:b/>
                <w:color w:val="FFFFFF"/>
                <w:sz w:val="18"/>
              </w:rPr>
              <w:t xml:space="preserve">Reached nodes</w:t>
            </w:r>
          </w:p>
        </w:tc>
        <w:tc>
          <w:tcPr>
            <w:tcW w:type="dxa" w:w="1685"/>
            <w:shd w:fill="1C2D40" w:val="clear"/>
            <w:tcMar>
              <w:top w:w="100" w:type="dxa"/>
              <w:bottom w:w="55" w:type="dxa"/>
              <w:start w:w="90" w:type="dxa"/>
              <w:end w:w="90" w:type="dxa"/>
            </w:tcMar>
          </w:tcPr>
          <w:p>
            <w:pPr>
              <w:pStyle w:val="Compact"/>
              <w:spacing w:after="20" w:line="226" w:lineRule="auto"/>
              <w:jc w:val="right"/>
            </w:pPr>
            <w:r>
              <w:rPr>
                <w:rFonts w:ascii="Times New Roman" w:hAnsi="Times New Roman" w:eastAsia="Times New Roman"/>
                <w:b/>
                <w:color w:val="FFFFFF"/>
                <w:sz w:val="18"/>
              </w:rPr>
              <w:t xml:space="preserve">Functional classes</w:t>
            </w:r>
          </w:p>
        </w:tc>
        <w:tc>
          <w:tcPr>
            <w:tcW w:type="dxa" w:w="1310"/>
            <w:shd w:fill="1C2D40" w:val="clear"/>
            <w:tcMar>
              <w:top w:w="100" w:type="dxa"/>
              <w:bottom w:w="55" w:type="dxa"/>
              <w:start w:w="90" w:type="dxa"/>
              <w:end w:w="90" w:type="dxa"/>
            </w:tcMar>
          </w:tcPr>
          <w:p>
            <w:pPr>
              <w:pStyle w:val="Compact"/>
              <w:spacing w:after="20" w:line="226" w:lineRule="auto"/>
              <w:jc w:val="right"/>
            </w:pPr>
            <w:r>
              <w:rPr>
                <w:rFonts w:ascii="Times New Roman" w:hAnsi="Times New Roman" w:eastAsia="Times New Roman"/>
                <w:b/>
                <w:color w:val="FFFFFF"/>
                <w:sz w:val="18"/>
              </w:rPr>
              <w:t xml:space="preserve">Diversity score</w:t>
            </w:r>
          </w:p>
        </w:tc>
        <w:tc>
          <w:tcPr>
            <w:tcW w:type="dxa" w:w="3370"/>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Availability result</w:t>
            </w:r>
          </w:p>
        </w:tc>
      </w:tr>
      <w:tr>
        <w:trPr>
          <w:cantSplit/>
        </w:trPr>
        <w:tc>
          <w:tcPr>
            <w:tcW w:type="dxa" w:w="1966"/>
            <w:shd w:fill="FFFFFF" w:val="clear"/>
          </w:tcPr>
          <w:p>
            <w:pPr>
              <w:pStyle w:val="Compact"/>
              <w:spacing w:after="60"/>
            </w:pPr>
            <w:r>
              <w:rPr>
                <w:rFonts w:ascii="Times New Roman" w:hAnsi="Times New Roman" w:eastAsia="Times New Roman"/>
                <w:sz w:val="18"/>
              </w:rPr>
              <w:t xml:space="preserve">Homogeneous fan-out</w:t>
            </w:r>
          </w:p>
        </w:tc>
        <w:tc>
          <w:tcPr>
            <w:tcW w:type="dxa" w:w="1030"/>
            <w:shd w:fill="FFFFFF" w:val="clear"/>
          </w:tcPr>
          <w:p>
            <w:pPr>
              <w:pStyle w:val="Compact"/>
              <w:spacing w:after="60"/>
              <w:jc w:val="right"/>
            </w:pPr>
            <w:r>
              <w:rPr>
                <w:rFonts w:ascii="Times New Roman" w:hAnsi="Times New Roman" w:eastAsia="Times New Roman"/>
                <w:sz w:val="18"/>
              </w:rPr>
              <w:t xml:space="preserve">120</w:t>
            </w:r>
          </w:p>
        </w:tc>
        <w:tc>
          <w:tcPr>
            <w:tcW w:type="dxa" w:w="1685"/>
            <w:shd w:fill="FFFFFF" w:val="clear"/>
          </w:tcPr>
          <w:p>
            <w:pPr>
              <w:pStyle w:val="Compact"/>
              <w:spacing w:after="60"/>
              <w:jc w:val="right"/>
            </w:pPr>
            <w:r>
              <w:rPr>
                <w:rFonts w:ascii="Times New Roman" w:hAnsi="Times New Roman" w:eastAsia="Times New Roman"/>
                <w:sz w:val="18"/>
              </w:rPr>
              <w:t xml:space="preserve">1</w:t>
            </w:r>
          </w:p>
        </w:tc>
        <w:tc>
          <w:tcPr>
            <w:tcW w:type="dxa" w:w="1310"/>
            <w:shd w:fill="FFFFFF" w:val="clear"/>
          </w:tcPr>
          <w:p>
            <w:pPr>
              <w:pStyle w:val="Compact"/>
              <w:spacing w:after="60"/>
              <w:jc w:val="right"/>
            </w:pPr>
            <w:r>
              <w:rPr>
                <w:rFonts w:ascii="Times New Roman" w:hAnsi="Times New Roman" w:eastAsia="Times New Roman"/>
                <w:sz w:val="18"/>
              </w:rPr>
              <w:t xml:space="preserve">0</w:t>
            </w:r>
          </w:p>
        </w:tc>
        <w:tc>
          <w:tcPr>
            <w:tcW w:type="dxa" w:w="3370"/>
            <w:shd w:fill="FFFFFF" w:val="clear"/>
          </w:tcPr>
          <w:p>
            <w:pPr>
              <w:pStyle w:val="Compact"/>
              <w:spacing w:after="60"/>
            </w:pPr>
            <w:r>
              <w:rPr>
                <w:rFonts w:ascii="Times New Roman" w:hAnsi="Times New Roman" w:eastAsia="Times New Roman"/>
                <w:sz w:val="18"/>
              </w:rPr>
              <w:t xml:space="preserve">Negative: class-count and diversity gates fail.</w:t>
            </w:r>
          </w:p>
        </w:tc>
      </w:tr>
      <w:tr>
        <w:trPr>
          <w:cantSplit/>
        </w:trPr>
        <w:tc>
          <w:tcPr>
            <w:tcW w:type="dxa" w:w="1966"/>
            <w:shd w:fill="EAF1F6" w:val="clear"/>
          </w:tcPr>
          <w:p>
            <w:pPr>
              <w:pStyle w:val="Compact"/>
              <w:spacing w:after="60"/>
            </w:pPr>
            <w:r>
              <w:rPr>
                <w:rFonts w:ascii="Times New Roman" w:hAnsi="Times New Roman" w:eastAsia="Times New Roman"/>
                <w:sz w:val="18"/>
              </w:rPr>
              <w:t xml:space="preserve">Redundant sensory sheet</w:t>
            </w:r>
          </w:p>
        </w:tc>
        <w:tc>
          <w:tcPr>
            <w:tcW w:type="dxa" w:w="1030"/>
            <w:shd w:fill="EAF1F6" w:val="clear"/>
          </w:tcPr>
          <w:p>
            <w:pPr>
              <w:pStyle w:val="Compact"/>
              <w:spacing w:after="60"/>
              <w:jc w:val="right"/>
            </w:pPr>
            <w:r>
              <w:rPr>
                <w:rFonts w:ascii="Times New Roman" w:hAnsi="Times New Roman" w:eastAsia="Times New Roman"/>
                <w:sz w:val="18"/>
              </w:rPr>
              <w:t xml:space="preserve">80</w:t>
            </w:r>
          </w:p>
        </w:tc>
        <w:tc>
          <w:tcPr>
            <w:tcW w:type="dxa" w:w="1685"/>
            <w:shd w:fill="EAF1F6" w:val="clear"/>
          </w:tcPr>
          <w:p>
            <w:pPr>
              <w:pStyle w:val="Compact"/>
              <w:spacing w:after="60"/>
              <w:jc w:val="right"/>
            </w:pPr>
            <w:r>
              <w:rPr>
                <w:rFonts w:ascii="Times New Roman" w:hAnsi="Times New Roman" w:eastAsia="Times New Roman"/>
                <w:sz w:val="18"/>
              </w:rPr>
              <w:t xml:space="preserve">2</w:t>
            </w:r>
          </w:p>
        </w:tc>
        <w:tc>
          <w:tcPr>
            <w:tcW w:type="dxa" w:w="1310"/>
            <w:shd w:fill="EAF1F6" w:val="clear"/>
          </w:tcPr>
          <w:p>
            <w:pPr>
              <w:pStyle w:val="Compact"/>
              <w:spacing w:after="60"/>
              <w:jc w:val="right"/>
            </w:pPr>
            <w:r>
              <w:rPr>
                <w:rFonts w:ascii="Times New Roman" w:hAnsi="Times New Roman" w:eastAsia="Times New Roman"/>
                <w:sz w:val="18"/>
              </w:rPr>
              <w:t xml:space="preserve">.41</w:t>
            </w:r>
          </w:p>
        </w:tc>
        <w:tc>
          <w:tcPr>
            <w:tcW w:type="dxa" w:w="3370"/>
            <w:shd w:fill="EAF1F6" w:val="clear"/>
          </w:tcPr>
          <w:p>
            <w:pPr>
              <w:pStyle w:val="Compact"/>
              <w:spacing w:after="60"/>
            </w:pPr>
            <w:r>
              <w:rPr>
                <w:rFonts w:ascii="Times New Roman" w:hAnsi="Times New Roman" w:eastAsia="Times New Roman"/>
                <w:sz w:val="18"/>
              </w:rPr>
              <w:t xml:space="preserve">Negative: diversity below</w:t>
            </w:r>
            <w:r>
              <w:rPr>
                <w:rFonts w:ascii="Times New Roman" w:hAnsi="Times New Roman" w:eastAsia="Times New Roman"/>
                <w:sz w:val="18"/>
              </w:rPr>
              <w:t xml:space="preserve"> </w:t>
            </w:r>
            <m:oMath>
              <m:r>
                <m:t>η</m:t>
              </m:r>
            </m:oMath>
            <w:r>
              <w:rPr>
                <w:rFonts w:ascii="Times New Roman" w:hAnsi="Times New Roman" w:eastAsia="Times New Roman"/>
                <w:sz w:val="18"/>
              </w:rPr>
              <w:t xml:space="preserve">.</w:t>
            </w:r>
          </w:p>
        </w:tc>
      </w:tr>
      <w:tr>
        <w:trPr>
          <w:cantSplit/>
        </w:trPr>
        <w:tc>
          <w:tcPr>
            <w:tcW w:type="dxa" w:w="1966"/>
            <w:shd w:fill="FFFFFF" w:val="clear"/>
          </w:tcPr>
          <w:p>
            <w:pPr>
              <w:pStyle w:val="Compact"/>
              <w:spacing w:after="60"/>
            </w:pPr>
            <w:r>
              <w:rPr>
                <w:rFonts w:ascii="Times New Roman" w:hAnsi="Times New Roman" w:eastAsia="Times New Roman"/>
                <w:sz w:val="18"/>
              </w:rPr>
              <w:t xml:space="preserve">Compact heterogeneous loop</w:t>
            </w:r>
          </w:p>
        </w:tc>
        <w:tc>
          <w:tcPr>
            <w:tcW w:type="dxa" w:w="1030"/>
            <w:shd w:fill="FFFFFF" w:val="clear"/>
          </w:tcPr>
          <w:p>
            <w:pPr>
              <w:pStyle w:val="Compact"/>
              <w:spacing w:after="60"/>
              <w:jc w:val="right"/>
            </w:pPr>
            <w:r>
              <w:rPr>
                <w:rFonts w:ascii="Times New Roman" w:hAnsi="Times New Roman" w:eastAsia="Times New Roman"/>
                <w:sz w:val="18"/>
              </w:rPr>
              <w:t xml:space="preserve">18</w:t>
            </w:r>
          </w:p>
        </w:tc>
        <w:tc>
          <w:tcPr>
            <w:tcW w:type="dxa" w:w="1685"/>
            <w:shd w:fill="FFFFFF" w:val="clear"/>
          </w:tcPr>
          <w:p>
            <w:pPr>
              <w:pStyle w:val="Compact"/>
              <w:spacing w:after="60"/>
              <w:jc w:val="right"/>
            </w:pPr>
            <w:r>
              <w:rPr>
                <w:rFonts w:ascii="Times New Roman" w:hAnsi="Times New Roman" w:eastAsia="Times New Roman"/>
                <w:sz w:val="18"/>
              </w:rPr>
              <w:t xml:space="preserve">5</w:t>
            </w:r>
          </w:p>
        </w:tc>
        <w:tc>
          <w:tcPr>
            <w:tcW w:type="dxa" w:w="1310"/>
            <w:shd w:fill="FFFFFF" w:val="clear"/>
          </w:tcPr>
          <w:p>
            <w:pPr>
              <w:pStyle w:val="Compact"/>
              <w:spacing w:after="60"/>
              <w:jc w:val="right"/>
            </w:pPr>
            <w:r>
              <w:rPr>
                <w:rFonts w:ascii="Times New Roman" w:hAnsi="Times New Roman" w:eastAsia="Times New Roman"/>
                <w:sz w:val="18"/>
              </w:rPr>
              <w:t xml:space="preserve">.86</w:t>
            </w:r>
          </w:p>
        </w:tc>
        <w:tc>
          <w:tcPr>
            <w:tcW w:type="dxa" w:w="3370"/>
            <w:shd w:fill="FFFFFF" w:val="clear"/>
          </w:tcPr>
          <w:p>
            <w:pPr>
              <w:pStyle w:val="Compact"/>
              <w:spacing w:after="60"/>
            </w:pPr>
            <w:r>
              <w:rPr>
                <w:rFonts w:ascii="Times New Roman" w:hAnsi="Times New Roman" w:eastAsia="Times New Roman"/>
                <w:sz w:val="18"/>
              </w:rPr>
              <w:t xml:space="preserve">Positive if effect, latency, selectivity, and route gates pass.</w:t>
            </w:r>
          </w:p>
        </w:tc>
      </w:tr>
      <w:tr>
        <w:trPr>
          <w:cantSplit/>
        </w:trPr>
        <w:tc>
          <w:tcPr>
            <w:tcW w:type="dxa" w:w="1966"/>
            <w:shd w:fill="EAF1F6" w:val="clear"/>
          </w:tcPr>
          <w:p>
            <w:pPr>
              <w:pStyle w:val="Compact"/>
              <w:spacing w:after="60"/>
            </w:pPr>
            <w:r>
              <w:rPr>
                <w:rFonts w:ascii="Times New Roman" w:hAnsi="Times New Roman" w:eastAsia="Times New Roman"/>
                <w:sz w:val="18"/>
              </w:rPr>
              <w:t xml:space="preserve">Executive star</w:t>
            </w:r>
          </w:p>
        </w:tc>
        <w:tc>
          <w:tcPr>
            <w:tcW w:type="dxa" w:w="1030"/>
            <w:shd w:fill="EAF1F6" w:val="clear"/>
          </w:tcPr>
          <w:p>
            <w:pPr>
              <w:pStyle w:val="Compact"/>
              <w:spacing w:after="60"/>
              <w:jc w:val="right"/>
            </w:pPr>
            <w:r>
              <w:rPr>
                <w:rFonts w:ascii="Times New Roman" w:hAnsi="Times New Roman" w:eastAsia="Times New Roman"/>
                <w:sz w:val="18"/>
              </w:rPr>
              <w:t xml:space="preserve">45</w:t>
            </w:r>
          </w:p>
        </w:tc>
        <w:tc>
          <w:tcPr>
            <w:tcW w:type="dxa" w:w="1685"/>
            <w:shd w:fill="EAF1F6" w:val="clear"/>
          </w:tcPr>
          <w:p>
            <w:pPr>
              <w:pStyle w:val="Compact"/>
              <w:spacing w:after="60"/>
              <w:jc w:val="right"/>
            </w:pPr>
            <w:r>
              <w:rPr>
                <w:rFonts w:ascii="Times New Roman" w:hAnsi="Times New Roman" w:eastAsia="Times New Roman"/>
                <w:sz w:val="18"/>
              </w:rPr>
              <w:t xml:space="preserve">6</w:t>
            </w:r>
          </w:p>
        </w:tc>
        <w:tc>
          <w:tcPr>
            <w:tcW w:type="dxa" w:w="1310"/>
            <w:shd w:fill="EAF1F6" w:val="clear"/>
          </w:tcPr>
          <w:p>
            <w:pPr>
              <w:pStyle w:val="Compact"/>
              <w:spacing w:after="60"/>
              <w:jc w:val="right"/>
            </w:pPr>
            <w:r>
              <w:rPr>
                <w:rFonts w:ascii="Times New Roman" w:hAnsi="Times New Roman" w:eastAsia="Times New Roman"/>
                <w:sz w:val="18"/>
              </w:rPr>
              <w:t xml:space="preserve">.79</w:t>
            </w:r>
          </w:p>
        </w:tc>
        <w:tc>
          <w:tcPr>
            <w:tcW w:type="dxa" w:w="3370"/>
            <w:shd w:fill="EAF1F6" w:val="clear"/>
          </w:tcPr>
          <w:p>
            <w:pPr>
              <w:pStyle w:val="Compact"/>
              <w:spacing w:after="60"/>
            </w:pPr>
            <w:r>
              <w:rPr>
                <w:rFonts w:ascii="Times New Roman" w:hAnsi="Times New Roman" w:eastAsia="Times New Roman"/>
                <w:sz w:val="18"/>
              </w:rPr>
              <w:t xml:space="preserve">Negative if reduced-family coverage collapses after executive exclusion.</w:t>
            </w:r>
          </w:p>
        </w:tc>
      </w:tr>
      <w:tr>
        <w:trPr>
          <w:cantSplit/>
        </w:trPr>
        <w:tc>
          <w:tcPr>
            <w:tcW w:type="dxa" w:w="1966"/>
            <w:shd w:fill="FFFFFF" w:val="clear"/>
          </w:tcPr>
          <w:p>
            <w:pPr>
              <w:pStyle w:val="Compact"/>
              <w:spacing w:after="60"/>
            </w:pPr>
            <w:r>
              <w:rPr>
                <w:rFonts w:ascii="Times New Roman" w:hAnsi="Times New Roman" w:eastAsia="Times New Roman"/>
                <w:sz w:val="18"/>
              </w:rPr>
              <w:t xml:space="preserve">Distributed causal network</w:t>
            </w:r>
          </w:p>
        </w:tc>
        <w:tc>
          <w:tcPr>
            <w:tcW w:type="dxa" w:w="1030"/>
            <w:shd w:fill="FFFFFF" w:val="clear"/>
          </w:tcPr>
          <w:p>
            <w:pPr>
              <w:pStyle w:val="Compact"/>
              <w:spacing w:after="60"/>
              <w:jc w:val="right"/>
            </w:pPr>
            <w:r>
              <w:rPr>
                <w:rFonts w:ascii="Times New Roman" w:hAnsi="Times New Roman" w:eastAsia="Times New Roman"/>
                <w:sz w:val="18"/>
              </w:rPr>
              <w:t xml:space="preserve">32</w:t>
            </w:r>
          </w:p>
        </w:tc>
        <w:tc>
          <w:tcPr>
            <w:tcW w:type="dxa" w:w="1685"/>
            <w:shd w:fill="FFFFFF" w:val="clear"/>
          </w:tcPr>
          <w:p>
            <w:pPr>
              <w:pStyle w:val="Compact"/>
              <w:spacing w:after="60"/>
              <w:jc w:val="right"/>
            </w:pPr>
            <w:r>
              <w:rPr>
                <w:rFonts w:ascii="Times New Roman" w:hAnsi="Times New Roman" w:eastAsia="Times New Roman"/>
                <w:sz w:val="18"/>
              </w:rPr>
              <w:t xml:space="preserve">6</w:t>
            </w:r>
          </w:p>
        </w:tc>
        <w:tc>
          <w:tcPr>
            <w:tcW w:type="dxa" w:w="1310"/>
            <w:shd w:fill="FFFFFF" w:val="clear"/>
          </w:tcPr>
          <w:p>
            <w:pPr>
              <w:pStyle w:val="Compact"/>
              <w:spacing w:after="60"/>
              <w:jc w:val="right"/>
            </w:pPr>
            <w:r>
              <w:rPr>
                <w:rFonts w:ascii="Times New Roman" w:hAnsi="Times New Roman" w:eastAsia="Times New Roman"/>
                <w:sz w:val="18"/>
              </w:rPr>
              <w:t xml:space="preserve">.83</w:t>
            </w:r>
          </w:p>
        </w:tc>
        <w:tc>
          <w:tcPr>
            <w:tcW w:type="dxa" w:w="3370"/>
            <w:shd w:fill="FFFFFF" w:val="clear"/>
          </w:tcPr>
          <w:p>
            <w:pPr>
              <w:pStyle w:val="Compact"/>
              <w:spacing w:after="60"/>
            </w:pPr>
            <w:r>
              <w:rPr>
                <w:rFonts w:ascii="Times New Roman" w:hAnsi="Times New Roman" w:eastAsia="Times New Roman"/>
                <w:sz w:val="18"/>
              </w:rPr>
              <w:t xml:space="preserve">Positive if reduced-family tests remain above threshold.</w:t>
            </w:r>
          </w:p>
        </w:tc>
      </w:tr>
    </w:tbl>
    <w:p>
      <w:pPr>
        <w:pStyle w:val="BodyText"/>
      </w:pPr>
      <w:r>
        <w:t xml:space="preserve">This example shows why anatomical or computational extent is not the target. The compact network can be more system-wide in the functional sense than the homogeneous fan-out.</w:t>
      </w:r>
    </w:p>
    <w:bookmarkEnd w:id="120"/>
    <w:bookmarkStart w:id="121" w:name="X1bf56abe9e0e9a336227012d4f4aef8b407d2a5"/>
    <w:p>
      <w:pPr>
        <w:pStyle w:val="Heading3"/>
      </w:pPr>
      <w:r>
        <w:t xml:space="preserve">Appendix F.3 Actual activation versus availability</w:t>
      </w:r>
    </w:p>
    <w:p>
      <w:pPr>
        <w:pStyle w:val="FirstParagraph"/>
      </w:pPr>
      <w:r>
        <w:t xml:space="preserve">Suppose an unperturbed no-report trial activates only two of five recipient classes. Content intervention reveals timely selective effects in four classes, including two that were quiescent. The observed activation fraction is</w:t>
      </w:r>
      <w:r>
        <w:t xml:space="preserve"> </w:t>
      </w:r>
      <m:oMath>
        <m:r>
          <m:t>.40</m:t>
        </m:r>
      </m:oMath>
      <w:r>
        <w:t xml:space="preserve">, while causal coverage is</w:t>
      </w:r>
      <w:r>
        <w:t xml:space="preserve"> </w:t>
      </w:r>
      <m:oMath>
        <m:r>
          <m:t>.78</m:t>
        </m:r>
      </m:oMath>
      <w:r>
        <w:t xml:space="preserve">. The criterion follows the latter if contexts were admissible and regime-preserving. Conversely, if all five classes activate under a global luminance transient but matched content interventions produce selective effects in only one class, observed spread is</w:t>
      </w:r>
      <w:r>
        <w:t xml:space="preserve"> </w:t>
      </w:r>
      <m:oMath>
        <m:r>
          <m:t>1.0</m:t>
        </m:r>
      </m:oMath>
      <w:r>
        <w:t xml:space="preserve"> </w:t>
      </w:r>
      <w:r>
        <w:t xml:space="preserve">while causal availability fails.</w:t>
      </w:r>
    </w:p>
    <w:bookmarkEnd w:id="121"/>
    <w:bookmarkStart w:id="122" w:name="appendix-f.4-threshold-uncertainty"/>
    <w:p>
      <w:pPr>
        <w:pStyle w:val="Heading3"/>
      </w:pPr>
      <w:r>
        <w:t xml:space="preserve">Appendix F.4 Threshold uncertainty</w:t>
      </w:r>
    </w:p>
    <w:p>
      <w:pPr>
        <w:pStyle w:val="FirstParagraph"/>
      </w:pPr>
      <w:r>
        <w:t xml:space="preserve">Suppose</w:t>
      </w:r>
      <w:r>
        <w:t xml:space="preserve"> </w:t>
      </w:r>
      <m:oMath>
        <m:sSub>
          <m:e>
            <m:r>
              <m:t>C</m:t>
            </m:r>
          </m:e>
          <m:sub>
            <m:r>
              <m:t>A</m:t>
            </m:r>
          </m:sub>
        </m:sSub>
        <m:r>
          <m:rPr>
            <m:sty m:val="p"/>
          </m:rPr>
          <m:t>∈</m:t>
        </m:r>
        <m:r>
          <m:rPr>
            <m:sty m:val="p"/>
          </m:rPr>
          <m:t>[</m:t>
        </m:r>
        <m:r>
          <m:t>.61</m:t>
        </m:r>
        <m:r>
          <m:rPr>
            <m:sty m:val="p"/>
          </m:rPr>
          <m:t>,</m:t>
        </m:r>
        <m:r>
          <m:t>.69</m:t>
        </m:r>
        <m:r>
          <m:rPr>
            <m:sty m:val="p"/>
          </m:rPr>
          <m:t>]</m:t>
        </m:r>
      </m:oMath>
      <w:r>
        <w:t xml:space="preserve"> </w:t>
      </w:r>
      <w:r>
        <w:t xml:space="preserve">with</w:t>
      </w:r>
      <w:r>
        <w:t xml:space="preserve"> </w:t>
      </w:r>
      <m:oMath>
        <m:r>
          <m:t>α</m:t>
        </m:r>
        <m:r>
          <m:rPr>
            <m:sty m:val="p"/>
          </m:rPr>
          <m:t>=</m:t>
        </m:r>
        <m:r>
          <m:t>.65</m:t>
        </m:r>
      </m:oMath>
      <w:r>
        <w:t xml:space="preserve">,</w:t>
      </w:r>
      <w:r>
        <w:t xml:space="preserve"> </w:t>
      </w:r>
      <m:oMath>
        <m:sSub>
          <m:e>
            <m:r>
              <m:t>K</m:t>
            </m:r>
          </m:e>
          <m:sub>
            <m:r>
              <m:t>A</m:t>
            </m:r>
          </m:sub>
        </m:sSub>
        <m:r>
          <m:rPr>
            <m:sty m:val="p"/>
          </m:rPr>
          <m:t>=</m:t>
        </m:r>
        <m:r>
          <m:t>4</m:t>
        </m:r>
      </m:oMath>
      <w:r>
        <w:t xml:space="preserve">,</w:t>
      </w:r>
      <w:r>
        <w:t xml:space="preserve"> </w:t>
      </w:r>
      <m:oMath>
        <m:sSub>
          <m:e>
            <m:r>
              <m:t>H</m:t>
            </m:r>
          </m:e>
          <m:sub>
            <m:r>
              <m:t>A</m:t>
            </m:r>
          </m:sub>
        </m:sSub>
        <m:r>
          <m:rPr>
            <m:sty m:val="p"/>
          </m:rPr>
          <m:t>=</m:t>
        </m:r>
        <m:r>
          <m:t>.81</m:t>
        </m:r>
      </m:oMath>
      <w:r>
        <w:t xml:space="preserve">, and both reduced-family tests otherwise pass. The result is indeterminate, not positive by the point estimate and not negative by the lower bound. More targeted perturbations should reduce uncertainty in the classes carrying the largest weight.</w:t>
      </w:r>
    </w:p>
    <w:bookmarkEnd w:id="122"/>
    <w:bookmarkStart w:id="123" w:name="Xb76f3fe573e3a02039bad86cbe1bc0c53cefe7b"/>
    <w:p>
      <w:pPr>
        <w:pStyle w:val="Heading3"/>
      </w:pPr>
      <w:r>
        <w:t xml:space="preserve">Appendix F.5 Context robustness and preparation burden</w:t>
      </w:r>
    </w:p>
    <w:p>
      <w:pPr>
        <w:pStyle w:val="FirstParagraph"/>
      </w:pPr>
      <w:r>
        <w:t xml:space="preserve">Suppose a candidate recipient has a large effect in four preregistered contexts. Baseline (</w:t>
      </w:r>
      <m:oMath>
        <m:r>
          <m:t>ν</m:t>
        </m:r>
        <m:r>
          <m:rPr>
            <m:sty m:val="p"/>
          </m:rPr>
          <m:t>=</m:t>
        </m:r>
        <m:r>
          <m:t>.45</m:t>
        </m:r>
      </m:oMath>
      <w:r>
        <w:t xml:space="preserve">), a mild readiness cue (</w:t>
      </w:r>
      <m:oMath>
        <m:r>
          <m:t>ν</m:t>
        </m:r>
        <m:r>
          <m:rPr>
            <m:sty m:val="p"/>
          </m:rPr>
          <m:t>=</m:t>
        </m:r>
        <m:r>
          <m:t>.30</m:t>
        </m:r>
      </m:oMath>
      <w:r>
        <w:t xml:space="preserve">), and a low-demand sensory context (</w:t>
      </w:r>
      <m:oMath>
        <m:r>
          <m:t>ν</m:t>
        </m:r>
        <m:r>
          <m:rPr>
            <m:sty m:val="p"/>
          </m:rPr>
          <m:t>=</m:t>
        </m:r>
        <m:r>
          <m:t>.15</m:t>
        </m:r>
      </m:oMath>
      <w:r>
        <w:t xml:space="preserve">) are all below</w:t>
      </w:r>
      <w:r>
        <w:t xml:space="preserve"> </w:t>
      </w:r>
      <m:oMath>
        <m:r>
          <m:t>γ</m:t>
        </m:r>
      </m:oMath>
      <w:r>
        <w:t xml:space="preserve">; the first two pass effect and latency gates, while the third is unresolved. A newly trained controller context would pass strongly but exceeds</w:t>
      </w:r>
      <w:r>
        <w:t xml:space="preserve"> </w:t>
      </w:r>
      <m:oMath>
        <m:r>
          <m:t>γ</m:t>
        </m:r>
      </m:oMath>
      <w:r>
        <w:t xml:space="preserve"> </w:t>
      </w:r>
      <w:r>
        <w:t xml:space="preserve">and is excluded before weights are normalized. The qualifying admissible mass is therefore</w:t>
      </w:r>
      <w:r>
        <w:t xml:space="preserve"> </w:t>
      </w:r>
      <m:oMath>
        <m:r>
          <m:t>.45</m:t>
        </m:r>
        <m:r>
          <m:rPr>
            <m:sty m:val="p"/>
          </m:rPr>
          <m:t>+</m:t>
        </m:r>
        <m:r>
          <m:t>.30</m:t>
        </m:r>
        <m:r>
          <m:rPr>
            <m:sty m:val="p"/>
          </m:rPr>
          <m:t>=</m:t>
        </m:r>
        <m:r>
          <m:t>.75</m:t>
        </m:r>
      </m:oMath>
      <w:r>
        <w:t xml:space="preserve">. If the lower bound on</w:t>
      </w:r>
      <w:r>
        <w:t xml:space="preserve"> </w:t>
      </w:r>
      <m:oMath>
        <m:sSub>
          <m:e>
            <m:r>
              <m:t>R</m:t>
            </m:r>
          </m:e>
          <m:sub>
            <m:r>
              <m:t>U</m:t>
            </m:r>
            <m:r>
              <m:rPr>
                <m:sty m:val="p"/>
              </m:rPr>
              <m:t>,</m:t>
            </m:r>
            <m:r>
              <m:t>k</m:t>
            </m:r>
          </m:sub>
        </m:sSub>
      </m:oMath>
      <w:r>
        <w:t xml:space="preserve"> </w:t>
      </w:r>
      <w:r>
        <w:t xml:space="preserve">is</w:t>
      </w:r>
      <w:r>
        <w:t xml:space="preserve"> </w:t>
      </w:r>
      <m:oMath>
        <m:r>
          <m:t>.71</m:t>
        </m:r>
      </m:oMath>
      <w:r>
        <w:t xml:space="preserve"> </w:t>
      </w:r>
      <w:r>
        <w:t xml:space="preserve">and</w:t>
      </w:r>
      <w:r>
        <w:t xml:space="preserve"> </w:t>
      </w:r>
      <m:oMath>
        <m:sSub>
          <m:e>
            <m:r>
              <m:t>ρ</m:t>
            </m:r>
          </m:e>
          <m:sub>
            <m:r>
              <m:t>U</m:t>
            </m:r>
          </m:sub>
        </m:sSub>
        <m:r>
          <m:rPr>
            <m:sty m:val="p"/>
          </m:rPr>
          <m:t>=</m:t>
        </m:r>
        <m:r>
          <m:t>.70</m:t>
        </m:r>
      </m:oMath>
      <w:r>
        <w:t xml:space="preserve">, the recipient passes. If the same effect appeared only in a rare context with</w:t>
      </w:r>
      <w:r>
        <w:t xml:space="preserve"> </w:t>
      </w:r>
      <m:oMath>
        <m:r>
          <m:t>ν</m:t>
        </m:r>
        <m:r>
          <m:rPr>
            <m:sty m:val="p"/>
          </m:rPr>
          <m:t>=</m:t>
        </m:r>
        <m:r>
          <m:t>.08</m:t>
        </m:r>
      </m:oMath>
      <w:r>
        <w:t xml:space="preserve">, the large maximum</w:t>
      </w:r>
      <w:r>
        <w:t xml:space="preserve"> </w:t>
      </w:r>
      <m:oMath>
        <m:sSubSup>
          <m:e>
            <m:r>
              <m:t>E</m:t>
            </m:r>
          </m:e>
          <m:sub>
            <m:r>
              <m:t>k</m:t>
            </m:r>
          </m:sub>
          <m:sup>
            <m:r>
              <m:rPr>
                <m:sty m:val="p"/>
              </m:rPr>
              <m:t>*</m:t>
            </m:r>
          </m:sup>
        </m:sSubSup>
      </m:oMath>
      <w:r>
        <w:t xml:space="preserve"> </w:t>
      </w:r>
      <w:r>
        <w:t xml:space="preserve">would be reported, but the recipient would fail context robustness.</w:t>
      </w:r>
    </w:p>
    <w:bookmarkEnd w:id="123"/>
    <w:bookmarkEnd w:id="124"/>
    <w:bookmarkStart w:id="125" w:name="Xa62e9718e77fb45033e6e446e2e77f794d72090"/>
    <w:p>
      <w:pPr>
        <w:pStyle w:val="Heading2"/>
        <w:pageBreakBefore/>
      </w:pPr>
      <w:r>
        <w:t xml:space="preserve">Appendix G: Formal decision rules at a glance</w:t>
      </w:r>
    </w:p>
    <w:tbl>
      <w:tblPr>
        <w:tblW w:type="pct" w:w="5000"/>
        <w:jc w:val="center"/>
        <w:tblLayout w:type="fixed"/>
        <w:tblLook w:firstRow="1" w:lastRow="0" w:firstColumn="0" w:lastColumn="0" w:noHBand="0" w:noVBand="0" w:val="0020"/>
      </w:tblPr>
      <w:tblGrid>
        <w:gridCol w:w="1346"/>
        <w:gridCol w:w="2455"/>
        <w:gridCol w:w="2296"/>
        <w:gridCol w:w="1821"/>
      </w:tblGrid>
      <w:tr>
        <w:trPr>
          <w:tblHeader w:val="on"/>
          <w:cantSplit/>
          <w:tblHeader w:val="true"/>
        </w:trPr>
        <w:tc>
          <w:tcPr>
            <w:tcW w:type="dxa" w:w="1591"/>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Gate</w:t>
            </w:r>
          </w:p>
        </w:tc>
        <w:tc>
          <w:tcPr>
            <w:tcW w:type="dxa" w:w="2902"/>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Pass rule</w:t>
            </w:r>
          </w:p>
        </w:tc>
        <w:tc>
          <w:tcPr>
            <w:tcW w:type="dxa" w:w="2714"/>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Fail rule</w:t>
            </w:r>
          </w:p>
        </w:tc>
        <w:tc>
          <w:tcPr>
            <w:tcW w:type="dxa" w:w="2153"/>
            <w:shd w:fill="1C2D40" w:val="clear"/>
            <w:tcMar>
              <w:top w:w="100" w:type="dxa"/>
              <w:bottom w:w="55" w:type="dxa"/>
              <w:start w:w="90" w:type="dxa"/>
              <w:end w:w="90" w:type="dxa"/>
            </w:tcMar>
          </w:tcPr>
          <w:p>
            <w:pPr>
              <w:pStyle w:val="Compact"/>
              <w:spacing w:after="20" w:line="226" w:lineRule="auto"/>
            </w:pPr>
            <w:r>
              <w:rPr>
                <w:rFonts w:ascii="Times New Roman" w:hAnsi="Times New Roman" w:eastAsia="Times New Roman"/>
                <w:b/>
                <w:color w:val="FFFFFF"/>
                <w:sz w:val="18"/>
              </w:rPr>
              <w:t xml:space="preserve">Otherwise</w:t>
            </w:r>
          </w:p>
        </w:tc>
      </w:tr>
      <w:tr>
        <w:trPr>
          <w:cantSplit/>
        </w:trPr>
        <w:tc>
          <w:tcPr>
            <w:tcW w:type="dxa" w:w="1591"/>
            <w:shd w:fill="FFFFFF" w:val="clear"/>
          </w:tcPr>
          <w:p>
            <w:pPr>
              <w:pStyle w:val="Compact"/>
              <w:spacing w:after="60"/>
            </w:pPr>
            <w:r>
              <w:rPr>
                <w:rFonts w:ascii="Times New Roman" w:hAnsi="Times New Roman" w:eastAsia="Times New Roman"/>
                <w:sz w:val="18"/>
              </w:rPr>
              <w:t xml:space="preserve">Test validity</w:t>
            </w:r>
          </w:p>
        </w:tc>
        <w:tc>
          <w:tcPr>
            <w:tcW w:type="dxa" w:w="2902"/>
            <w:shd w:fill="FFFFFF" w:val="clear"/>
          </w:tcPr>
          <w:p>
            <w:pPr>
              <w:pStyle w:val="Compact"/>
              <w:spacing w:after="60"/>
            </w:pPr>
            <w:r>
              <w:rPr>
                <w:rFonts w:ascii="Times New Roman" w:hAnsi="Times New Roman" w:eastAsia="Times New Roman"/>
                <w:sz w:val="18"/>
              </w:rPr>
              <w:t xml:space="preserve">Boundary, content, source fidelity, taxonomy, context, intervention, and regime checks all pass.</w:t>
            </w:r>
          </w:p>
        </w:tc>
        <w:tc>
          <w:tcPr>
            <w:tcW w:type="dxa" w:w="2714"/>
            <w:shd w:fill="FFFFFF" w:val="clear"/>
          </w:tcPr>
          <w:p>
            <w:pPr>
              <w:pStyle w:val="Compact"/>
              <w:spacing w:after="60"/>
            </w:pPr>
            <w:r>
              <w:rPr>
                <w:rFonts w:ascii="Times New Roman" w:hAnsi="Times New Roman" w:eastAsia="Times New Roman"/>
                <w:sz w:val="18"/>
              </w:rPr>
              <w:t xml:space="preserve">Any required interpretation condition fails.</w:t>
            </w:r>
          </w:p>
        </w:tc>
        <w:tc>
          <w:tcPr>
            <w:tcW w:type="dxa" w:w="2153"/>
            <w:shd w:fill="FFFFFF" w:val="clear"/>
          </w:tcPr>
          <w:p>
            <w:pPr>
              <w:pStyle w:val="Compact"/>
              <w:spacing w:after="60"/>
            </w:pPr>
            <w:r>
              <w:rPr>
                <w:rFonts w:ascii="Times New Roman" w:hAnsi="Times New Roman" w:eastAsia="Times New Roman"/>
                <w:sz w:val="18"/>
              </w:rPr>
              <w:t xml:space="preserve">Unlicensed.</w:t>
            </w:r>
          </w:p>
        </w:tc>
      </w:tr>
      <w:tr>
        <w:trPr>
          <w:cantSplit/>
        </w:trPr>
        <w:tc>
          <w:tcPr>
            <w:tcW w:type="dxa" w:w="1591"/>
            <w:shd w:fill="EAF1F6" w:val="clear"/>
          </w:tcPr>
          <w:p>
            <w:pPr>
              <w:pStyle w:val="Compact"/>
              <w:spacing w:after="60"/>
            </w:pPr>
            <w:r>
              <w:rPr>
                <w:rFonts w:ascii="Times New Roman" w:hAnsi="Times New Roman" w:eastAsia="Times New Roman"/>
                <w:sz w:val="18"/>
              </w:rPr>
              <w:t xml:space="preserve">Context admissibility</w:t>
            </w:r>
          </w:p>
        </w:tc>
        <w:tc>
          <w:tcPr>
            <w:tcW w:type="dxa" w:w="2902"/>
            <w:shd w:fill="EAF1F6" w:val="clear"/>
          </w:tcPr>
          <w:p>
            <w:pPr>
              <w:pStyle w:val="Compact"/>
              <w:spacing w:after="60"/>
            </w:pPr>
            <m:oMath>
              <m:r>
                <m:rPr>
                  <m:sty m:val="p"/>
                </m:rPr>
                <m:t>Γ</m:t>
              </m:r>
              <m:r>
                <m:rPr>
                  <m:sty m:val="p"/>
                </m:rPr>
                <m:t>(</m:t>
              </m:r>
              <m:r>
                <m:t>u</m:t>
              </m:r>
              <m:r>
                <m:rPr>
                  <m:sty m:val="p"/>
                </m:rPr>
                <m:t>,</m:t>
              </m:r>
              <m:sSub>
                <m:e>
                  <m:r>
                    <m:t>u</m:t>
                  </m:r>
                </m:e>
                <m:sub>
                  <m:r>
                    <m:t>0</m:t>
                  </m:r>
                </m:sub>
              </m:sSub>
              <m:r>
                <m:rPr>
                  <m:sty m:val="p"/>
                </m:rPr>
                <m:t>)</m:t>
              </m:r>
              <m:r>
                <m:rPr>
                  <m:sty m:val="p"/>
                </m:rPr>
                <m:t>≤</m:t>
              </m:r>
              <m:r>
                <m:t>γ</m:t>
              </m:r>
            </m:oMath>
            <w:r>
              <w:rPr>
                <w:rFonts w:ascii="Times New Roman" w:hAnsi="Times New Roman" w:eastAsia="Times New Roman"/>
                <w:sz w:val="18"/>
              </w:rPr>
              <w:t xml:space="preserve">; regime preserved; no new route.</w:t>
            </w:r>
          </w:p>
        </w:tc>
        <w:tc>
          <w:tcPr>
            <w:tcW w:type="dxa" w:w="2714"/>
            <w:shd w:fill="EAF1F6" w:val="clear"/>
          </w:tcPr>
          <w:p>
            <w:pPr>
              <w:pStyle w:val="Compact"/>
              <w:spacing w:after="60"/>
            </w:pPr>
            <w:r>
              <w:rPr>
                <w:rFonts w:ascii="Times New Roman" w:hAnsi="Times New Roman" w:eastAsia="Times New Roman"/>
                <w:sz w:val="18"/>
              </w:rPr>
              <w:t xml:space="preserve">Burden exceeds</w:t>
            </w:r>
            <w:r>
              <w:rPr>
                <w:rFonts w:ascii="Times New Roman" w:hAnsi="Times New Roman" w:eastAsia="Times New Roman"/>
                <w:sz w:val="18"/>
              </w:rPr>
              <w:t xml:space="preserve"> </w:t>
            </w:r>
            <m:oMath>
              <m:r>
                <m:t>γ</m:t>
              </m:r>
            </m:oMath>
            <w:r>
              <w:rPr>
                <w:rFonts w:ascii="Times New Roman" w:hAnsi="Times New Roman" w:eastAsia="Times New Roman"/>
                <w:sz w:val="18"/>
              </w:rPr>
              <w:t xml:space="preserve"> </w:t>
            </w:r>
            <w:r>
              <w:rPr>
                <w:rFonts w:ascii="Times New Roman" w:hAnsi="Times New Roman" w:eastAsia="Times New Roman"/>
                <w:sz w:val="18"/>
              </w:rPr>
              <w:t xml:space="preserve">or the context changes regime/routing.</w:t>
            </w:r>
          </w:p>
        </w:tc>
        <w:tc>
          <w:tcPr>
            <w:tcW w:type="dxa" w:w="2153"/>
            <w:shd w:fill="EAF1F6" w:val="clear"/>
          </w:tcPr>
          <w:p>
            <w:pPr>
              <w:pStyle w:val="Compact"/>
              <w:spacing w:after="60"/>
            </w:pPr>
            <w:r>
              <w:rPr>
                <w:rFonts w:ascii="Times New Roman" w:hAnsi="Times New Roman" w:eastAsia="Times New Roman"/>
                <w:sz w:val="18"/>
              </w:rPr>
              <w:t xml:space="preserve">Context excluded or unlicensed.</w:t>
            </w:r>
          </w:p>
        </w:tc>
      </w:tr>
      <w:tr>
        <w:trPr>
          <w:cantSplit/>
        </w:trPr>
        <w:tc>
          <w:tcPr>
            <w:tcW w:type="dxa" w:w="1591"/>
            <w:shd w:fill="FFFFFF" w:val="clear"/>
          </w:tcPr>
          <w:p>
            <w:pPr>
              <w:pStyle w:val="Compact"/>
              <w:spacing w:after="60"/>
            </w:pPr>
            <w:r>
              <w:rPr>
                <w:rFonts w:ascii="Times New Roman" w:hAnsi="Times New Roman" w:eastAsia="Times New Roman"/>
                <w:sz w:val="18"/>
              </w:rPr>
              <w:t xml:space="preserve">Recipient effect</w:t>
            </w:r>
          </w:p>
        </w:tc>
        <w:tc>
          <w:tcPr>
            <w:tcW w:type="dxa" w:w="2902"/>
            <w:shd w:fill="FFFFFF" w:val="clear"/>
          </w:tcPr>
          <w:p>
            <w:pPr>
              <w:pStyle w:val="Compact"/>
              <w:spacing w:after="60"/>
            </w:pPr>
            <m:oMath>
              <m:r>
                <m:rPr>
                  <m:sty m:val="p"/>
                </m:rPr>
                <m:t>LCB</m:t>
              </m:r>
              <m:r>
                <m:rPr>
                  <m:sty m:val="p"/>
                </m:rPr>
                <m:t>(</m:t>
              </m:r>
              <m:sSubSup>
                <m:e>
                  <m:r>
                    <m:t>E</m:t>
                  </m:r>
                </m:e>
                <m:sub>
                  <m:r>
                    <m:t>k</m:t>
                  </m:r>
                </m:sub>
                <m:sup>
                  <m:r>
                    <m:rPr>
                      <m:sty m:val="p"/>
                    </m:rPr>
                    <m:t>*</m:t>
                  </m:r>
                </m:sup>
              </m:sSubSup>
              <m:r>
                <m:rPr>
                  <m:sty m:val="p"/>
                </m:rPr>
                <m:t>)</m:t>
              </m:r>
              <m:r>
                <m:rPr>
                  <m:sty m:val="p"/>
                </m:rPr>
                <m:t>≥</m:t>
              </m:r>
              <m:sSub>
                <m:e>
                  <m:r>
                    <m:t>ϵ</m:t>
                  </m:r>
                </m:e>
                <m:sub>
                  <m:r>
                    <m:t>k</m:t>
                  </m:r>
                </m:sub>
              </m:sSub>
            </m:oMath>
            <w:r>
              <w:rPr>
                <w:rFonts w:ascii="Times New Roman" w:hAnsi="Times New Roman" w:eastAsia="Times New Roman"/>
                <w:sz w:val="18"/>
              </w:rPr>
              <w:t xml:space="preserve">.</w:t>
            </w:r>
          </w:p>
        </w:tc>
        <w:tc>
          <w:tcPr>
            <w:tcW w:type="dxa" w:w="2714"/>
            <w:shd w:fill="FFFFFF" w:val="clear"/>
          </w:tcPr>
          <w:p>
            <w:pPr>
              <w:pStyle w:val="Compact"/>
              <w:spacing w:after="60"/>
            </w:pPr>
            <m:oMath>
              <m:r>
                <m:rPr>
                  <m:sty m:val="p"/>
                </m:rPr>
                <m:t>UCB</m:t>
              </m:r>
              <m:r>
                <m:rPr>
                  <m:sty m:val="p"/>
                </m:rPr>
                <m:t>(</m:t>
              </m:r>
              <m:sSubSup>
                <m:e>
                  <m:r>
                    <m:t>E</m:t>
                  </m:r>
                </m:e>
                <m:sub>
                  <m:r>
                    <m:t>k</m:t>
                  </m:r>
                </m:sub>
                <m:sup>
                  <m:r>
                    <m:rPr>
                      <m:sty m:val="p"/>
                    </m:rPr>
                    <m:t>*</m:t>
                  </m:r>
                </m:sup>
              </m:sSubSup>
              <m:r>
                <m:rPr>
                  <m:sty m:val="p"/>
                </m:rPr>
                <m:t>)</m:t>
              </m:r>
              <m:r>
                <m:rPr>
                  <m:sty m:val="p"/>
                </m:rPr>
                <m:t>&lt;</m:t>
              </m:r>
              <m:sSub>
                <m:e>
                  <m:r>
                    <m:t>ϵ</m:t>
                  </m:r>
                </m:e>
                <m:sub>
                  <m:r>
                    <m:t>k</m:t>
                  </m:r>
                </m:sub>
              </m:sSub>
            </m:oMath>
            <w:r>
              <w:rPr>
                <w:rFonts w:ascii="Times New Roman" w:hAnsi="Times New Roman" w:eastAsia="Times New Roman"/>
                <w:sz w:val="18"/>
              </w:rPr>
              <w:t xml:space="preserve">.</w:t>
            </w:r>
          </w:p>
        </w:tc>
        <w:tc>
          <w:tcPr>
            <w:tcW w:type="dxa" w:w="2153"/>
            <w:shd w:fill="FFFFFF" w:val="clear"/>
          </w:tcPr>
          <w:p>
            <w:pPr>
              <w:pStyle w:val="Compact"/>
              <w:spacing w:after="60"/>
            </w:pPr>
            <w:r>
              <w:rPr>
                <w:rFonts w:ascii="Times New Roman" w:hAnsi="Times New Roman" w:eastAsia="Times New Roman"/>
                <w:sz w:val="18"/>
              </w:rPr>
              <w:t xml:space="preserve">Recipient effect indeterminate.</w:t>
            </w:r>
          </w:p>
        </w:tc>
      </w:tr>
      <w:tr>
        <w:trPr>
          <w:cantSplit/>
        </w:trPr>
        <w:tc>
          <w:tcPr>
            <w:tcW w:type="dxa" w:w="1591"/>
            <w:shd w:fill="EAF1F6" w:val="clear"/>
          </w:tcPr>
          <w:p>
            <w:pPr>
              <w:pStyle w:val="Compact"/>
              <w:spacing w:after="60"/>
            </w:pPr>
            <w:r>
              <w:rPr>
                <w:rFonts w:ascii="Times New Roman" w:hAnsi="Times New Roman" w:eastAsia="Times New Roman"/>
                <w:sz w:val="18"/>
              </w:rPr>
              <w:t xml:space="preserve">Latency</w:t>
            </w:r>
          </w:p>
        </w:tc>
        <w:tc>
          <w:tcPr>
            <w:tcW w:type="dxa" w:w="2902"/>
            <w:shd w:fill="EAF1F6" w:val="clear"/>
          </w:tcPr>
          <w:p>
            <w:pPr>
              <w:pStyle w:val="Compact"/>
              <w:spacing w:after="60"/>
            </w:pPr>
            <m:oMath>
              <m:r>
                <m:rPr>
                  <m:sty m:val="p"/>
                </m:rPr>
                <m:t>UCB</m:t>
              </m:r>
              <m:r>
                <m:rPr>
                  <m:sty m:val="p"/>
                </m:rPr>
                <m:t>(</m:t>
              </m:r>
              <m:sSub>
                <m:e>
                  <m:r>
                    <m:t>L</m:t>
                  </m:r>
                </m:e>
                <m:sub>
                  <m:r>
                    <m:t>k</m:t>
                  </m:r>
                </m:sub>
              </m:sSub>
              <m:r>
                <m:rPr>
                  <m:sty m:val="p"/>
                </m:rPr>
                <m:t>)</m:t>
              </m:r>
              <m:r>
                <m:rPr>
                  <m:sty m:val="p"/>
                </m:rPr>
                <m:t>≤</m:t>
              </m:r>
              <m:r>
                <m:t>λ</m:t>
              </m:r>
            </m:oMath>
            <w:r>
              <w:rPr>
                <w:rFonts w:ascii="Times New Roman" w:hAnsi="Times New Roman" w:eastAsia="Times New Roman"/>
                <w:sz w:val="18"/>
              </w:rPr>
              <w:t xml:space="preserve">.</w:t>
            </w:r>
          </w:p>
        </w:tc>
        <w:tc>
          <w:tcPr>
            <w:tcW w:type="dxa" w:w="2714"/>
            <w:shd w:fill="EAF1F6" w:val="clear"/>
          </w:tcPr>
          <w:p>
            <w:pPr>
              <w:pStyle w:val="Compact"/>
              <w:spacing w:after="60"/>
            </w:pPr>
            <m:oMath>
              <m:r>
                <m:rPr>
                  <m:sty m:val="p"/>
                </m:rPr>
                <m:t>LCB</m:t>
              </m:r>
              <m:r>
                <m:rPr>
                  <m:sty m:val="p"/>
                </m:rPr>
                <m:t>(</m:t>
              </m:r>
              <m:sSub>
                <m:e>
                  <m:r>
                    <m:t>L</m:t>
                  </m:r>
                </m:e>
                <m:sub>
                  <m:r>
                    <m:t>k</m:t>
                  </m:r>
                </m:sub>
              </m:sSub>
              <m:r>
                <m:rPr>
                  <m:sty m:val="p"/>
                </m:rPr>
                <m:t>)</m:t>
              </m:r>
              <m:r>
                <m:rPr>
                  <m:sty m:val="p"/>
                </m:rPr>
                <m:t>&gt;</m:t>
              </m:r>
              <m:r>
                <m:t>λ</m:t>
              </m:r>
            </m:oMath>
            <w:r>
              <w:rPr>
                <w:rFonts w:ascii="Times New Roman" w:hAnsi="Times New Roman" w:eastAsia="Times New Roman"/>
                <w:sz w:val="18"/>
              </w:rPr>
              <w:t xml:space="preserve">.</w:t>
            </w:r>
          </w:p>
        </w:tc>
        <w:tc>
          <w:tcPr>
            <w:tcW w:type="dxa" w:w="2153"/>
            <w:shd w:fill="EAF1F6" w:val="clear"/>
          </w:tcPr>
          <w:p>
            <w:pPr>
              <w:pStyle w:val="Compact"/>
              <w:spacing w:after="60"/>
            </w:pPr>
            <w:r>
              <w:rPr>
                <w:rFonts w:ascii="Times New Roman" w:hAnsi="Times New Roman" w:eastAsia="Times New Roman"/>
                <w:sz w:val="18"/>
              </w:rPr>
              <w:t xml:space="preserve">Latency indeterminate.</w:t>
            </w:r>
          </w:p>
        </w:tc>
      </w:tr>
      <w:tr>
        <w:trPr>
          <w:cantSplit/>
        </w:trPr>
        <w:tc>
          <w:tcPr>
            <w:tcW w:type="dxa" w:w="1591"/>
            <w:shd w:fill="FFFFFF" w:val="clear"/>
          </w:tcPr>
          <w:p>
            <w:pPr>
              <w:pStyle w:val="Compact"/>
              <w:spacing w:after="60"/>
            </w:pPr>
            <w:r>
              <w:rPr>
                <w:rFonts w:ascii="Times New Roman" w:hAnsi="Times New Roman" w:eastAsia="Times New Roman"/>
                <w:sz w:val="18"/>
              </w:rPr>
              <w:t xml:space="preserve">Selectivity</w:t>
            </w:r>
          </w:p>
        </w:tc>
        <w:tc>
          <w:tcPr>
            <w:tcW w:type="dxa" w:w="2902"/>
            <w:shd w:fill="FFFFFF" w:val="clear"/>
          </w:tcPr>
          <w:p>
            <w:pPr>
              <w:pStyle w:val="Compact"/>
              <w:spacing w:after="60"/>
            </w:pPr>
            <m:oMath>
              <m:r>
                <m:rPr>
                  <m:sty m:val="p"/>
                </m:rPr>
                <m:t>LCB</m:t>
              </m:r>
              <m:r>
                <m:rPr>
                  <m:sty m:val="p"/>
                </m:rPr>
                <m:t>(</m:t>
              </m:r>
              <m:sSub>
                <m:e>
                  <m:r>
                    <m:rPr>
                      <m:sty m:val="p"/>
                    </m:rPr>
                    <m:t>Sel</m:t>
                  </m:r>
                </m:e>
                <m:sub>
                  <m:r>
                    <m:t>k</m:t>
                  </m:r>
                </m:sub>
              </m:sSub>
              <m:r>
                <m:rPr>
                  <m:sty m:val="p"/>
                </m:rPr>
                <m:t>)</m:t>
              </m:r>
              <m:r>
                <m:rPr>
                  <m:sty m:val="p"/>
                </m:rPr>
                <m:t>≥</m:t>
              </m:r>
              <m:r>
                <m:t>s</m:t>
              </m:r>
            </m:oMath>
            <w:r>
              <w:rPr>
                <w:rFonts w:ascii="Times New Roman" w:hAnsi="Times New Roman" w:eastAsia="Times New Roman"/>
                <w:sz w:val="18"/>
              </w:rPr>
              <w:t xml:space="preserve">.</w:t>
            </w:r>
          </w:p>
        </w:tc>
        <w:tc>
          <w:tcPr>
            <w:tcW w:type="dxa" w:w="2714"/>
            <w:shd w:fill="FFFFFF" w:val="clear"/>
          </w:tcPr>
          <w:p>
            <w:pPr>
              <w:pStyle w:val="Compact"/>
              <w:spacing w:after="60"/>
            </w:pPr>
            <m:oMath>
              <m:r>
                <m:rPr>
                  <m:sty m:val="p"/>
                </m:rPr>
                <m:t>UCB</m:t>
              </m:r>
              <m:r>
                <m:rPr>
                  <m:sty m:val="p"/>
                </m:rPr>
                <m:t>(</m:t>
              </m:r>
              <m:sSub>
                <m:e>
                  <m:r>
                    <m:rPr>
                      <m:sty m:val="p"/>
                    </m:rPr>
                    <m:t>Sel</m:t>
                  </m:r>
                </m:e>
                <m:sub>
                  <m:r>
                    <m:t>k</m:t>
                  </m:r>
                </m:sub>
              </m:sSub>
              <m:r>
                <m:rPr>
                  <m:sty m:val="p"/>
                </m:rPr>
                <m:t>)</m:t>
              </m:r>
              <m:r>
                <m:rPr>
                  <m:sty m:val="p"/>
                </m:rPr>
                <m:t>&lt;</m:t>
              </m:r>
              <m:r>
                <m:t>s</m:t>
              </m:r>
            </m:oMath>
            <w:r>
              <w:rPr>
                <w:rFonts w:ascii="Times New Roman" w:hAnsi="Times New Roman" w:eastAsia="Times New Roman"/>
                <w:sz w:val="18"/>
              </w:rPr>
              <w:t xml:space="preserve">.</w:t>
            </w:r>
          </w:p>
        </w:tc>
        <w:tc>
          <w:tcPr>
            <w:tcW w:type="dxa" w:w="2153"/>
            <w:shd w:fill="FFFFFF" w:val="clear"/>
          </w:tcPr>
          <w:p>
            <w:pPr>
              <w:pStyle w:val="Compact"/>
              <w:spacing w:after="60"/>
            </w:pPr>
            <w:r>
              <w:rPr>
                <w:rFonts w:ascii="Times New Roman" w:hAnsi="Times New Roman" w:eastAsia="Times New Roman"/>
                <w:sz w:val="18"/>
              </w:rPr>
              <w:t xml:space="preserve">Diffusion conflict or indeterminate.</w:t>
            </w:r>
          </w:p>
        </w:tc>
      </w:tr>
      <w:tr>
        <w:trPr>
          <w:cantSplit/>
        </w:trPr>
        <w:tc>
          <w:tcPr>
            <w:tcW w:type="dxa" w:w="1591"/>
            <w:shd w:fill="EAF1F6" w:val="clear"/>
          </w:tcPr>
          <w:p>
            <w:pPr>
              <w:pStyle w:val="Compact"/>
              <w:spacing w:after="60"/>
            </w:pPr>
            <w:r>
              <w:rPr>
                <w:rFonts w:ascii="Times New Roman" w:hAnsi="Times New Roman" w:eastAsia="Times New Roman"/>
                <w:sz w:val="18"/>
              </w:rPr>
              <w:t xml:space="preserve">Route</w:t>
            </w:r>
          </w:p>
        </w:tc>
        <w:tc>
          <w:tcPr>
            <w:tcW w:type="dxa" w:w="2902"/>
            <w:shd w:fill="EAF1F6" w:val="clear"/>
          </w:tcPr>
          <w:p>
            <w:pPr>
              <w:pStyle w:val="Compact"/>
              <w:spacing w:after="60"/>
            </w:pPr>
            <m:oMath>
              <m:r>
                <m:rPr>
                  <m:sty m:val="p"/>
                </m:rPr>
                <m:t>LCB</m:t>
              </m:r>
              <m:r>
                <m:rPr>
                  <m:sty m:val="p"/>
                </m:rPr>
                <m:t>(</m:t>
              </m:r>
              <m:sSub>
                <m:e>
                  <m:r>
                    <m:rPr>
                      <m:sty m:val="p"/>
                    </m:rPr>
                    <m:t>Route</m:t>
                  </m:r>
                </m:e>
                <m:sub>
                  <m:r>
                    <m:t>k</m:t>
                  </m:r>
                </m:sub>
              </m:sSub>
              <m:r>
                <m:rPr>
                  <m:sty m:val="p"/>
                </m:rPr>
                <m:t>)</m:t>
              </m:r>
              <m:r>
                <m:rPr>
                  <m:sty m:val="p"/>
                </m:rPr>
                <m:t>≥</m:t>
              </m:r>
              <m:r>
                <m:t>r</m:t>
              </m:r>
            </m:oMath>
            <w:r>
              <w:rPr>
                <w:rFonts w:ascii="Times New Roman" w:hAnsi="Times New Roman" w:eastAsia="Times New Roman"/>
                <w:sz w:val="18"/>
              </w:rPr>
              <w:t xml:space="preserve">.</w:t>
            </w:r>
          </w:p>
        </w:tc>
        <w:tc>
          <w:tcPr>
            <w:tcW w:type="dxa" w:w="2714"/>
            <w:shd w:fill="EAF1F6" w:val="clear"/>
          </w:tcPr>
          <w:p>
            <w:pPr>
              <w:pStyle w:val="Compact"/>
              <w:spacing w:after="60"/>
            </w:pPr>
            <m:oMath>
              <m:r>
                <m:rPr>
                  <m:sty m:val="p"/>
                </m:rPr>
                <m:t>UCB</m:t>
              </m:r>
              <m:r>
                <m:rPr>
                  <m:sty m:val="p"/>
                </m:rPr>
                <m:t>(</m:t>
              </m:r>
              <m:sSub>
                <m:e>
                  <m:r>
                    <m:rPr>
                      <m:sty m:val="p"/>
                    </m:rPr>
                    <m:t>Route</m:t>
                  </m:r>
                </m:e>
                <m:sub>
                  <m:r>
                    <m:t>k</m:t>
                  </m:r>
                </m:sub>
              </m:sSub>
              <m:r>
                <m:rPr>
                  <m:sty m:val="p"/>
                </m:rPr>
                <m:t>)</m:t>
              </m:r>
              <m:r>
                <m:rPr>
                  <m:sty m:val="p"/>
                </m:rPr>
                <m:t>&lt;</m:t>
              </m:r>
              <m:r>
                <m:t>r</m:t>
              </m:r>
            </m:oMath>
            <w:r>
              <w:rPr>
                <w:rFonts w:ascii="Times New Roman" w:hAnsi="Times New Roman" w:eastAsia="Times New Roman"/>
                <w:sz w:val="18"/>
              </w:rPr>
              <w:t xml:space="preserve"> </w:t>
            </w:r>
            <w:r>
              <w:rPr>
                <w:rFonts w:ascii="Times New Roman" w:hAnsi="Times New Roman" w:eastAsia="Times New Roman"/>
                <w:sz w:val="18"/>
              </w:rPr>
              <w:t xml:space="preserve">with adequate route coverage.</w:t>
            </w:r>
          </w:p>
        </w:tc>
        <w:tc>
          <w:tcPr>
            <w:tcW w:type="dxa" w:w="2153"/>
            <w:shd w:fill="EAF1F6" w:val="clear"/>
          </w:tcPr>
          <w:p>
            <w:pPr>
              <w:pStyle w:val="Compact"/>
              <w:spacing w:after="60"/>
            </w:pPr>
            <w:r>
              <w:rPr>
                <w:rFonts w:ascii="Times New Roman" w:hAnsi="Times New Roman" w:eastAsia="Times New Roman"/>
                <w:sz w:val="18"/>
              </w:rPr>
              <w:t xml:space="preserve">Route indeterminate.</w:t>
            </w:r>
          </w:p>
        </w:tc>
      </w:tr>
      <w:tr>
        <w:trPr>
          <w:cantSplit/>
        </w:trPr>
        <w:tc>
          <w:tcPr>
            <w:tcW w:type="dxa" w:w="1591"/>
            <w:shd w:fill="FFFFFF" w:val="clear"/>
          </w:tcPr>
          <w:p>
            <w:pPr>
              <w:pStyle w:val="Compact"/>
              <w:spacing w:after="60"/>
            </w:pPr>
            <w:r>
              <w:rPr>
                <w:rFonts w:ascii="Times New Roman" w:hAnsi="Times New Roman" w:eastAsia="Times New Roman"/>
                <w:sz w:val="18"/>
              </w:rPr>
              <w:t xml:space="preserve">Context robustness</w:t>
            </w:r>
          </w:p>
        </w:tc>
        <w:tc>
          <w:tcPr>
            <w:tcW w:type="dxa" w:w="2902"/>
            <w:shd w:fill="FFFFFF" w:val="clear"/>
          </w:tcPr>
          <w:p>
            <w:pPr>
              <w:pStyle w:val="Compact"/>
              <w:spacing w:after="60"/>
            </w:pPr>
            <m:oMath>
              <m:r>
                <m:rPr>
                  <m:sty m:val="p"/>
                </m:rPr>
                <m:t>LCB</m:t>
              </m:r>
              <m:r>
                <m:rPr>
                  <m:sty m:val="p"/>
                </m:rPr>
                <m:t>(</m:t>
              </m:r>
              <m:sSub>
                <m:e>
                  <m:r>
                    <m:t>R</m:t>
                  </m:r>
                </m:e>
                <m:sub>
                  <m:r>
                    <m:t>U</m:t>
                  </m:r>
                  <m:r>
                    <m:rPr>
                      <m:sty m:val="p"/>
                    </m:rPr>
                    <m:t>,</m:t>
                  </m:r>
                  <m:r>
                    <m:t>k</m:t>
                  </m:r>
                </m:sub>
              </m:sSub>
              <m:r>
                <m:rPr>
                  <m:sty m:val="p"/>
                </m:rPr>
                <m:t>)</m:t>
              </m:r>
              <m:r>
                <m:rPr>
                  <m:sty m:val="p"/>
                </m:rPr>
                <m:t>≥</m:t>
              </m:r>
              <m:sSub>
                <m:e>
                  <m:r>
                    <m:t>ρ</m:t>
                  </m:r>
                </m:e>
                <m:sub>
                  <m:r>
                    <m:t>U</m:t>
                  </m:r>
                </m:sub>
              </m:sSub>
            </m:oMath>
            <w:r>
              <w:rPr>
                <w:rFonts w:ascii="Times New Roman" w:hAnsi="Times New Roman" w:eastAsia="Times New Roman"/>
                <w:sz w:val="18"/>
              </w:rPr>
              <w:t xml:space="preserve">.</w:t>
            </w:r>
          </w:p>
        </w:tc>
        <w:tc>
          <w:tcPr>
            <w:tcW w:type="dxa" w:w="2714"/>
            <w:shd w:fill="FFFFFF" w:val="clear"/>
          </w:tcPr>
          <w:p>
            <w:pPr>
              <w:pStyle w:val="Compact"/>
              <w:spacing w:after="60"/>
            </w:pPr>
            <m:oMath>
              <m:r>
                <m:rPr>
                  <m:sty m:val="p"/>
                </m:rPr>
                <m:t>UCB</m:t>
              </m:r>
              <m:r>
                <m:rPr>
                  <m:sty m:val="p"/>
                </m:rPr>
                <m:t>(</m:t>
              </m:r>
              <m:sSub>
                <m:e>
                  <m:r>
                    <m:t>R</m:t>
                  </m:r>
                </m:e>
                <m:sub>
                  <m:r>
                    <m:t>U</m:t>
                  </m:r>
                  <m:r>
                    <m:rPr>
                      <m:sty m:val="p"/>
                    </m:rPr>
                    <m:t>,</m:t>
                  </m:r>
                  <m:r>
                    <m:t>k</m:t>
                  </m:r>
                </m:sub>
              </m:sSub>
              <m:r>
                <m:rPr>
                  <m:sty m:val="p"/>
                </m:rPr>
                <m:t>)</m:t>
              </m:r>
              <m:r>
                <m:rPr>
                  <m:sty m:val="p"/>
                </m:rPr>
                <m:t>&lt;</m:t>
              </m:r>
              <m:sSub>
                <m:e>
                  <m:r>
                    <m:t>ρ</m:t>
                  </m:r>
                </m:e>
                <m:sub>
                  <m:r>
                    <m:t>U</m:t>
                  </m:r>
                </m:sub>
              </m:sSub>
            </m:oMath>
            <w:r>
              <w:rPr>
                <w:rFonts w:ascii="Times New Roman" w:hAnsi="Times New Roman" w:eastAsia="Times New Roman"/>
                <w:sz w:val="18"/>
              </w:rPr>
              <w:t xml:space="preserve">.</w:t>
            </w:r>
          </w:p>
        </w:tc>
        <w:tc>
          <w:tcPr>
            <w:tcW w:type="dxa" w:w="2153"/>
            <w:shd w:fill="FFFFFF" w:val="clear"/>
          </w:tcPr>
          <w:p>
            <w:pPr>
              <w:pStyle w:val="Compact"/>
              <w:spacing w:after="60"/>
            </w:pPr>
            <w:r>
              <w:rPr>
                <w:rFonts w:ascii="Times New Roman" w:hAnsi="Times New Roman" w:eastAsia="Times New Roman"/>
                <w:sz w:val="18"/>
              </w:rPr>
              <w:t xml:space="preserve">Robustness indeterminate.</w:t>
            </w:r>
          </w:p>
        </w:tc>
      </w:tr>
      <w:tr>
        <w:trPr>
          <w:cantSplit/>
        </w:trPr>
        <w:tc>
          <w:tcPr>
            <w:tcW w:type="dxa" w:w="1591"/>
            <w:shd w:fill="EAF1F6" w:val="clear"/>
          </w:tcPr>
          <w:p>
            <w:pPr>
              <w:pStyle w:val="Compact"/>
              <w:spacing w:after="60"/>
            </w:pPr>
            <w:r>
              <w:rPr>
                <w:rFonts w:ascii="Times New Roman" w:hAnsi="Times New Roman" w:eastAsia="Times New Roman"/>
                <w:sz w:val="18"/>
              </w:rPr>
              <w:t xml:space="preserve">Coverage</w:t>
            </w:r>
          </w:p>
        </w:tc>
        <w:tc>
          <w:tcPr>
            <w:tcW w:type="dxa" w:w="2902"/>
            <w:shd w:fill="EAF1F6" w:val="clear"/>
          </w:tcPr>
          <w:p>
            <w:pPr>
              <w:pStyle w:val="Compact"/>
              <w:spacing w:after="60"/>
            </w:pPr>
            <m:oMath>
              <m:r>
                <m:rPr>
                  <m:sty m:val="p"/>
                </m:rPr>
                <m:t>LCB</m:t>
              </m:r>
              <m:r>
                <m:rPr>
                  <m:sty m:val="p"/>
                </m:rPr>
                <m:t>(</m:t>
              </m:r>
              <m:sSub>
                <m:e>
                  <m:r>
                    <m:t>C</m:t>
                  </m:r>
                </m:e>
                <m:sub>
                  <m:r>
                    <m:t>A</m:t>
                  </m:r>
                </m:sub>
              </m:sSub>
              <m:r>
                <m:rPr>
                  <m:sty m:val="p"/>
                </m:rPr>
                <m:t>)</m:t>
              </m:r>
              <m:r>
                <m:rPr>
                  <m:sty m:val="p"/>
                </m:rPr>
                <m:t>≥</m:t>
              </m:r>
              <m:r>
                <m:t>α</m:t>
              </m:r>
            </m:oMath>
            <w:r>
              <w:rPr>
                <w:rFonts w:ascii="Times New Roman" w:hAnsi="Times New Roman" w:eastAsia="Times New Roman"/>
                <w:sz w:val="18"/>
              </w:rPr>
              <w:t xml:space="preserve">.</w:t>
            </w:r>
          </w:p>
        </w:tc>
        <w:tc>
          <w:tcPr>
            <w:tcW w:type="dxa" w:w="2714"/>
            <w:shd w:fill="EAF1F6" w:val="clear"/>
          </w:tcPr>
          <w:p>
            <w:pPr>
              <w:pStyle w:val="Compact"/>
              <w:spacing w:after="60"/>
            </w:pPr>
            <m:oMath>
              <m:r>
                <m:rPr>
                  <m:sty m:val="p"/>
                </m:rPr>
                <m:t>UCB</m:t>
              </m:r>
              <m:r>
                <m:rPr>
                  <m:sty m:val="p"/>
                </m:rPr>
                <m:t>(</m:t>
              </m:r>
              <m:sSub>
                <m:e>
                  <m:r>
                    <m:t>C</m:t>
                  </m:r>
                </m:e>
                <m:sub>
                  <m:r>
                    <m:t>A</m:t>
                  </m:r>
                </m:sub>
              </m:sSub>
              <m:r>
                <m:rPr>
                  <m:sty m:val="p"/>
                </m:rPr>
                <m:t>)</m:t>
              </m:r>
              <m:r>
                <m:rPr>
                  <m:sty m:val="p"/>
                </m:rPr>
                <m:t>&lt;</m:t>
              </m:r>
              <m:r>
                <m:t>α</m:t>
              </m:r>
            </m:oMath>
            <w:r>
              <w:rPr>
                <w:rFonts w:ascii="Times New Roman" w:hAnsi="Times New Roman" w:eastAsia="Times New Roman"/>
                <w:sz w:val="18"/>
              </w:rPr>
              <w:t xml:space="preserve">.</w:t>
            </w:r>
          </w:p>
        </w:tc>
        <w:tc>
          <w:tcPr>
            <w:tcW w:type="dxa" w:w="2153"/>
            <w:shd w:fill="EAF1F6" w:val="clear"/>
          </w:tcPr>
          <w:p>
            <w:pPr>
              <w:pStyle w:val="Compact"/>
              <w:spacing w:after="60"/>
            </w:pPr>
            <w:r>
              <w:rPr>
                <w:rFonts w:ascii="Times New Roman" w:hAnsi="Times New Roman" w:eastAsia="Times New Roman"/>
                <w:sz w:val="18"/>
              </w:rPr>
              <w:t xml:space="preserve">Coverage indeterminate.</w:t>
            </w:r>
          </w:p>
        </w:tc>
      </w:tr>
      <w:tr>
        <w:trPr>
          <w:cantSplit/>
        </w:trPr>
        <w:tc>
          <w:tcPr>
            <w:tcW w:type="dxa" w:w="1591"/>
            <w:shd w:fill="FFFFFF" w:val="clear"/>
          </w:tcPr>
          <w:p>
            <w:pPr>
              <w:pStyle w:val="Compact"/>
              <w:spacing w:after="60"/>
            </w:pPr>
            <w:r>
              <w:rPr>
                <w:rFonts w:ascii="Times New Roman" w:hAnsi="Times New Roman" w:eastAsia="Times New Roman"/>
                <w:sz w:val="18"/>
              </w:rPr>
              <w:t xml:space="preserve">Class count</w:t>
            </w:r>
          </w:p>
        </w:tc>
        <w:tc>
          <w:tcPr>
            <w:tcW w:type="dxa" w:w="2902"/>
            <w:shd w:fill="FFFFFF" w:val="clear"/>
          </w:tcPr>
          <w:p>
            <w:pPr>
              <w:pStyle w:val="Compact"/>
              <w:spacing w:after="60"/>
            </w:pPr>
            <w:r>
              <w:rPr>
                <w:rFonts w:ascii="Times New Roman" w:hAnsi="Times New Roman" w:eastAsia="Times New Roman"/>
                <w:sz w:val="18"/>
              </w:rPr>
              <w:t xml:space="preserve">At least</w:t>
            </w:r>
            <w:r>
              <w:rPr>
                <w:rFonts w:ascii="Times New Roman" w:hAnsi="Times New Roman" w:eastAsia="Times New Roman"/>
                <w:sz w:val="18"/>
              </w:rPr>
              <w:t xml:space="preserve"> </w:t>
            </w:r>
            <m:oMath>
              <m:r>
                <m:t>m</m:t>
              </m:r>
            </m:oMath>
            <w:r>
              <w:rPr>
                <w:rFonts w:ascii="Times New Roman" w:hAnsi="Times New Roman" w:eastAsia="Times New Roman"/>
                <w:sz w:val="18"/>
              </w:rPr>
              <w:t xml:space="preserve"> </w:t>
            </w:r>
            <w:r>
              <w:rPr>
                <w:rFonts w:ascii="Times New Roman" w:hAnsi="Times New Roman" w:eastAsia="Times New Roman"/>
                <w:sz w:val="18"/>
              </w:rPr>
              <w:t xml:space="preserve">classes pass all gates.</w:t>
            </w:r>
          </w:p>
        </w:tc>
        <w:tc>
          <w:tcPr>
            <w:tcW w:type="dxa" w:w="2714"/>
            <w:shd w:fill="FFFFFF" w:val="clear"/>
          </w:tcPr>
          <w:p>
            <w:pPr>
              <w:pStyle w:val="Compact"/>
              <w:spacing w:after="60"/>
            </w:pPr>
            <w:r>
              <w:rPr>
                <w:rFonts w:ascii="Times New Roman" w:hAnsi="Times New Roman" w:eastAsia="Times New Roman"/>
                <w:sz w:val="18"/>
              </w:rPr>
              <w:t xml:space="preserve">Fewer than</w:t>
            </w:r>
            <w:r>
              <w:rPr>
                <w:rFonts w:ascii="Times New Roman" w:hAnsi="Times New Roman" w:eastAsia="Times New Roman"/>
                <w:sz w:val="18"/>
              </w:rPr>
              <w:t xml:space="preserve"> </w:t>
            </w:r>
            <m:oMath>
              <m:r>
                <m:t>m</m:t>
              </m:r>
            </m:oMath>
            <w:r>
              <w:rPr>
                <w:rFonts w:ascii="Times New Roman" w:hAnsi="Times New Roman" w:eastAsia="Times New Roman"/>
                <w:sz w:val="18"/>
              </w:rPr>
              <w:t xml:space="preserve"> </w:t>
            </w:r>
            <w:r>
              <w:rPr>
                <w:rFonts w:ascii="Times New Roman" w:hAnsi="Times New Roman" w:eastAsia="Times New Roman"/>
                <w:sz w:val="18"/>
              </w:rPr>
              <w:t xml:space="preserve">could pass even at upper bounds.</w:t>
            </w:r>
          </w:p>
        </w:tc>
        <w:tc>
          <w:tcPr>
            <w:tcW w:type="dxa" w:w="2153"/>
            <w:shd w:fill="FFFFFF" w:val="clear"/>
          </w:tcPr>
          <w:p>
            <w:pPr>
              <w:pStyle w:val="Compact"/>
              <w:spacing w:after="60"/>
            </w:pPr>
            <w:r>
              <w:rPr>
                <w:rFonts w:ascii="Times New Roman" w:hAnsi="Times New Roman" w:eastAsia="Times New Roman"/>
                <w:sz w:val="18"/>
              </w:rPr>
              <w:t xml:space="preserve">Class-count indeterminate.</w:t>
            </w:r>
          </w:p>
        </w:tc>
      </w:tr>
      <w:tr>
        <w:trPr>
          <w:cantSplit/>
        </w:trPr>
        <w:tc>
          <w:tcPr>
            <w:tcW w:type="dxa" w:w="1591"/>
            <w:shd w:fill="EAF1F6" w:val="clear"/>
          </w:tcPr>
          <w:p>
            <w:pPr>
              <w:pStyle w:val="Compact"/>
              <w:spacing w:after="60"/>
            </w:pPr>
            <w:r>
              <w:rPr>
                <w:rFonts w:ascii="Times New Roman" w:hAnsi="Times New Roman" w:eastAsia="Times New Roman"/>
                <w:sz w:val="18"/>
              </w:rPr>
              <w:t xml:space="preserve">Diversity</w:t>
            </w:r>
          </w:p>
        </w:tc>
        <w:tc>
          <w:tcPr>
            <w:tcW w:type="dxa" w:w="2902"/>
            <w:shd w:fill="EAF1F6" w:val="clear"/>
          </w:tcPr>
          <w:p>
            <w:pPr>
              <w:pStyle w:val="Compact"/>
              <w:spacing w:after="60"/>
            </w:pPr>
            <m:oMath>
              <m:r>
                <m:rPr>
                  <m:sty m:val="p"/>
                </m:rPr>
                <m:t>LCB</m:t>
              </m:r>
              <m:r>
                <m:rPr>
                  <m:sty m:val="p"/>
                </m:rPr>
                <m:t>(</m:t>
              </m:r>
              <m:sSub>
                <m:e>
                  <m:r>
                    <m:t>H</m:t>
                  </m:r>
                </m:e>
                <m:sub>
                  <m:r>
                    <m:t>A</m:t>
                  </m:r>
                </m:sub>
              </m:sSub>
              <m:r>
                <m:rPr>
                  <m:sty m:val="p"/>
                </m:rPr>
                <m:t>)</m:t>
              </m:r>
              <m:r>
                <m:rPr>
                  <m:sty m:val="p"/>
                </m:rPr>
                <m:t>≥</m:t>
              </m:r>
              <m:r>
                <m:t>η</m:t>
              </m:r>
            </m:oMath>
            <w:r>
              <w:rPr>
                <w:rFonts w:ascii="Times New Roman" w:hAnsi="Times New Roman" w:eastAsia="Times New Roman"/>
                <w:sz w:val="18"/>
              </w:rPr>
              <w:t xml:space="preserve">.</w:t>
            </w:r>
          </w:p>
        </w:tc>
        <w:tc>
          <w:tcPr>
            <w:tcW w:type="dxa" w:w="2714"/>
            <w:shd w:fill="EAF1F6" w:val="clear"/>
          </w:tcPr>
          <w:p>
            <w:pPr>
              <w:pStyle w:val="Compact"/>
              <w:spacing w:after="60"/>
            </w:pPr>
            <m:oMath>
              <m:r>
                <m:rPr>
                  <m:sty m:val="p"/>
                </m:rPr>
                <m:t>UCB</m:t>
              </m:r>
              <m:r>
                <m:rPr>
                  <m:sty m:val="p"/>
                </m:rPr>
                <m:t>(</m:t>
              </m:r>
              <m:sSub>
                <m:e>
                  <m:r>
                    <m:t>H</m:t>
                  </m:r>
                </m:e>
                <m:sub>
                  <m:r>
                    <m:t>A</m:t>
                  </m:r>
                </m:sub>
              </m:sSub>
              <m:r>
                <m:rPr>
                  <m:sty m:val="p"/>
                </m:rPr>
                <m:t>)</m:t>
              </m:r>
              <m:r>
                <m:rPr>
                  <m:sty m:val="p"/>
                </m:rPr>
                <m:t>&lt;</m:t>
              </m:r>
              <m:r>
                <m:t>η</m:t>
              </m:r>
            </m:oMath>
            <w:r>
              <w:rPr>
                <w:rFonts w:ascii="Times New Roman" w:hAnsi="Times New Roman" w:eastAsia="Times New Roman"/>
                <w:sz w:val="18"/>
              </w:rPr>
              <w:t xml:space="preserve">.</w:t>
            </w:r>
          </w:p>
        </w:tc>
        <w:tc>
          <w:tcPr>
            <w:tcW w:type="dxa" w:w="2153"/>
            <w:shd w:fill="EAF1F6" w:val="clear"/>
          </w:tcPr>
          <w:p>
            <w:pPr>
              <w:pStyle w:val="Compact"/>
              <w:spacing w:after="60"/>
            </w:pPr>
            <w:r>
              <w:rPr>
                <w:rFonts w:ascii="Times New Roman" w:hAnsi="Times New Roman" w:eastAsia="Times New Roman"/>
                <w:sz w:val="18"/>
              </w:rPr>
              <w:t xml:space="preserve">Diversity indeterminate.</w:t>
            </w:r>
          </w:p>
        </w:tc>
      </w:tr>
      <w:tr>
        <w:trPr>
          <w:cantSplit/>
        </w:trPr>
        <w:tc>
          <w:tcPr>
            <w:tcW w:type="dxa" w:w="1591"/>
            <w:shd w:fill="FFFFFF" w:val="clear"/>
          </w:tcPr>
          <w:p>
            <w:pPr>
              <w:pStyle w:val="Compact"/>
              <w:spacing w:after="60"/>
            </w:pPr>
            <w:r>
              <w:rPr>
                <w:rFonts w:ascii="Times New Roman" w:hAnsi="Times New Roman" w:eastAsia="Times New Roman"/>
                <w:sz w:val="18"/>
              </w:rPr>
              <w:t xml:space="preserve">Report independence</w:t>
            </w:r>
          </w:p>
        </w:tc>
        <w:tc>
          <w:tcPr>
            <w:tcW w:type="dxa" w:w="2902"/>
            <w:shd w:fill="FFFFFF" w:val="clear"/>
          </w:tcPr>
          <w:p>
            <w:pPr>
              <w:pStyle w:val="Compact"/>
              <w:spacing w:after="60"/>
            </w:pPr>
            <w:r>
              <w:rPr>
                <w:rFonts w:ascii="Times New Roman" w:hAnsi="Times New Roman" w:eastAsia="Times New Roman"/>
                <w:sz w:val="18"/>
              </w:rPr>
              <w:t xml:space="preserve">Reduced-family gates pass on</w:t>
            </w:r>
            <w:r>
              <w:rPr>
                <w:rFonts w:ascii="Times New Roman" w:hAnsi="Times New Roman" w:eastAsia="Times New Roman"/>
                <w:sz w:val="18"/>
              </w:rPr>
              <w:t xml:space="preserve"> </w:t>
            </w:r>
            <m:oMath>
              <m:sSup>
                <m:e>
                  <m:r>
                    <m:rPr>
                      <m:scr m:val="script"/>
                      <m:sty m:val="p"/>
                    </m:rPr>
                    <m:t>M</m:t>
                  </m:r>
                </m:e>
                <m:sup>
                  <m:r>
                    <m:rPr>
                      <m:sty m:val="p"/>
                    </m:rPr>
                    <m:t>−</m:t>
                  </m:r>
                  <m:r>
                    <m:t>R</m:t>
                  </m:r>
                </m:sup>
              </m:sSup>
            </m:oMath>
            <w:r>
              <w:rPr>
                <w:rFonts w:ascii="Times New Roman" w:hAnsi="Times New Roman" w:eastAsia="Times New Roman"/>
                <w:sz w:val="18"/>
              </w:rPr>
              <w:t xml:space="preserve">.</w:t>
            </w:r>
          </w:p>
        </w:tc>
        <w:tc>
          <w:tcPr>
            <w:tcW w:type="dxa" w:w="2714"/>
            <w:shd w:fill="FFFFFF" w:val="clear"/>
          </w:tcPr>
          <w:p>
            <w:pPr>
              <w:pStyle w:val="Compact"/>
              <w:spacing w:after="60"/>
            </w:pPr>
            <w:r>
              <w:rPr>
                <w:rFonts w:ascii="Times New Roman" w:hAnsi="Times New Roman" w:eastAsia="Times New Roman"/>
                <w:sz w:val="18"/>
              </w:rPr>
              <w:t xml:space="preserve">Their upper bounds fail.</w:t>
            </w:r>
          </w:p>
        </w:tc>
        <w:tc>
          <w:tcPr>
            <w:tcW w:type="dxa" w:w="2153"/>
            <w:shd w:fill="FFFFFF" w:val="clear"/>
          </w:tcPr>
          <w:p>
            <w:pPr>
              <w:pStyle w:val="Compact"/>
              <w:spacing w:after="60"/>
            </w:pPr>
            <w:r>
              <w:rPr>
                <w:rFonts w:ascii="Times New Roman" w:hAnsi="Times New Roman" w:eastAsia="Times New Roman"/>
                <w:sz w:val="18"/>
              </w:rPr>
              <w:t xml:space="preserve">Report-dependence indeterminate.</w:t>
            </w:r>
          </w:p>
        </w:tc>
      </w:tr>
      <w:tr>
        <w:trPr>
          <w:cantSplit/>
        </w:trPr>
        <w:tc>
          <w:tcPr>
            <w:tcW w:type="dxa" w:w="1591"/>
            <w:shd w:fill="EAF1F6" w:val="clear"/>
          </w:tcPr>
          <w:p>
            <w:pPr>
              <w:pStyle w:val="Compact"/>
              <w:spacing w:after="60"/>
            </w:pPr>
            <w:r>
              <w:rPr>
                <w:rFonts w:ascii="Times New Roman" w:hAnsi="Times New Roman" w:eastAsia="Times New Roman"/>
                <w:sz w:val="18"/>
              </w:rPr>
              <w:t xml:space="preserve">Executive independence</w:t>
            </w:r>
          </w:p>
        </w:tc>
        <w:tc>
          <w:tcPr>
            <w:tcW w:type="dxa" w:w="2902"/>
            <w:shd w:fill="EAF1F6" w:val="clear"/>
          </w:tcPr>
          <w:p>
            <w:pPr>
              <w:pStyle w:val="Compact"/>
              <w:spacing w:after="60"/>
            </w:pPr>
            <w:r>
              <w:rPr>
                <w:rFonts w:ascii="Times New Roman" w:hAnsi="Times New Roman" w:eastAsia="Times New Roman"/>
                <w:sz w:val="18"/>
              </w:rPr>
              <w:t xml:space="preserve">Reduced-family gates pass on</w:t>
            </w:r>
            <w:r>
              <w:rPr>
                <w:rFonts w:ascii="Times New Roman" w:hAnsi="Times New Roman" w:eastAsia="Times New Roman"/>
                <w:sz w:val="18"/>
              </w:rPr>
              <w:t xml:space="preserve"> </w:t>
            </w:r>
            <m:oMath>
              <m:sSup>
                <m:e>
                  <m:r>
                    <m:rPr>
                      <m:scr m:val="script"/>
                      <m:sty m:val="p"/>
                    </m:rPr>
                    <m:t>M</m:t>
                  </m:r>
                </m:e>
                <m:sup>
                  <m:r>
                    <m:rPr>
                      <m:sty m:val="p"/>
                    </m:rPr>
                    <m:t>−</m:t>
                  </m:r>
                  <m:r>
                    <m:t>E</m:t>
                  </m:r>
                </m:sup>
              </m:sSup>
            </m:oMath>
            <w:r>
              <w:rPr>
                <w:rFonts w:ascii="Times New Roman" w:hAnsi="Times New Roman" w:eastAsia="Times New Roman"/>
                <w:sz w:val="18"/>
              </w:rPr>
              <w:t xml:space="preserve">.</w:t>
            </w:r>
          </w:p>
        </w:tc>
        <w:tc>
          <w:tcPr>
            <w:tcW w:type="dxa" w:w="2714"/>
            <w:shd w:fill="EAF1F6" w:val="clear"/>
          </w:tcPr>
          <w:p>
            <w:pPr>
              <w:pStyle w:val="Compact"/>
              <w:spacing w:after="60"/>
            </w:pPr>
            <w:r>
              <w:rPr>
                <w:rFonts w:ascii="Times New Roman" w:hAnsi="Times New Roman" w:eastAsia="Times New Roman"/>
                <w:sz w:val="18"/>
              </w:rPr>
              <w:t xml:space="preserve">Their upper bounds fail.</w:t>
            </w:r>
          </w:p>
        </w:tc>
        <w:tc>
          <w:tcPr>
            <w:tcW w:type="dxa" w:w="2153"/>
            <w:shd w:fill="EAF1F6" w:val="clear"/>
          </w:tcPr>
          <w:p>
            <w:pPr>
              <w:pStyle w:val="Compact"/>
              <w:spacing w:after="60"/>
            </w:pPr>
            <w:r>
              <w:rPr>
                <w:rFonts w:ascii="Times New Roman" w:hAnsi="Times New Roman" w:eastAsia="Times New Roman"/>
                <w:sz w:val="18"/>
              </w:rPr>
              <w:t xml:space="preserve">Executive-dependence indeterminate.</w:t>
            </w:r>
          </w:p>
        </w:tc>
      </w:tr>
      <w:tr>
        <w:trPr>
          <w:cantSplit/>
        </w:trPr>
        <w:tc>
          <w:tcPr>
            <w:tcW w:type="dxa" w:w="1591"/>
            <w:shd w:fill="FFFFFF" w:val="clear"/>
          </w:tcPr>
          <w:p>
            <w:pPr>
              <w:pStyle w:val="Compact"/>
              <w:spacing w:after="60"/>
            </w:pPr>
            <w:r>
              <w:rPr>
                <w:rFonts w:ascii="Times New Roman" w:hAnsi="Times New Roman" w:eastAsia="Times New Roman"/>
                <w:sz w:val="18"/>
              </w:rPr>
              <w:t xml:space="preserve">Stability</w:t>
            </w:r>
          </w:p>
        </w:tc>
        <w:tc>
          <w:tcPr>
            <w:tcW w:type="dxa" w:w="2902"/>
            <w:shd w:fill="FFFFFF" w:val="clear"/>
          </w:tcPr>
          <w:p>
            <w:pPr>
              <w:pStyle w:val="Compact"/>
              <w:spacing w:after="60"/>
            </w:pPr>
            <m:oMath>
              <m:sSub>
                <m:e>
                  <m:r>
                    <m:t>R</m:t>
                  </m:r>
                </m:e>
                <m:sub>
                  <m:r>
                    <m:t>A</m:t>
                  </m:r>
                </m:sub>
              </m:sSub>
              <m:r>
                <m:rPr>
                  <m:sty m:val="p"/>
                </m:rPr>
                <m:t>≥</m:t>
              </m:r>
              <m:sSub>
                <m:e>
                  <m:r>
                    <m:t>ρ</m:t>
                  </m:r>
                </m:e>
                <m:sub>
                  <m:r>
                    <m:t>A</m:t>
                  </m:r>
                </m:sub>
              </m:sSub>
            </m:oMath>
            <w:r>
              <w:rPr>
                <w:rFonts w:ascii="Times New Roman" w:hAnsi="Times New Roman" w:eastAsia="Times New Roman"/>
                <w:sz w:val="18"/>
              </w:rPr>
              <w:t xml:space="preserve"> </w:t>
            </w:r>
            <w:r>
              <w:rPr>
                <w:rFonts w:ascii="Times New Roman" w:hAnsi="Times New Roman" w:eastAsia="Times New Roman"/>
                <w:sz w:val="18"/>
              </w:rPr>
              <w:t xml:space="preserve">across valid mappings.</w:t>
            </w:r>
          </w:p>
        </w:tc>
        <w:tc>
          <w:tcPr>
            <w:tcW w:type="dxa" w:w="2714"/>
            <w:shd w:fill="FFFFFF" w:val="clear"/>
          </w:tcPr>
          <w:p>
            <w:pPr>
              <w:pStyle w:val="Compact"/>
              <w:spacing w:after="60"/>
            </w:pPr>
            <m:oMath>
              <m:sSub>
                <m:e>
                  <m:r>
                    <m:t>R</m:t>
                  </m:r>
                </m:e>
                <m:sub>
                  <m:r>
                    <m:t>A</m:t>
                  </m:r>
                </m:sub>
              </m:sSub>
              <m:r>
                <m:rPr>
                  <m:sty m:val="p"/>
                </m:rPr>
                <m:t>&lt;</m:t>
              </m:r>
              <m:sSub>
                <m:e>
                  <m:r>
                    <m:t>ρ</m:t>
                  </m:r>
                </m:e>
                <m:sub>
                  <m:r>
                    <m:t>A</m:t>
                  </m:r>
                </m:sub>
              </m:sSub>
            </m:oMath>
            <w:r>
              <w:rPr>
                <w:rFonts w:ascii="Times New Roman" w:hAnsi="Times New Roman" w:eastAsia="Times New Roman"/>
                <w:sz w:val="18"/>
              </w:rPr>
              <w:t xml:space="preserve"> </w:t>
            </w:r>
            <w:r>
              <w:rPr>
                <w:rFonts w:ascii="Times New Roman" w:hAnsi="Times New Roman" w:eastAsia="Times New Roman"/>
                <w:sz w:val="18"/>
              </w:rPr>
              <w:t xml:space="preserve">with adequate coverage.</w:t>
            </w:r>
          </w:p>
        </w:tc>
        <w:tc>
          <w:tcPr>
            <w:tcW w:type="dxa" w:w="2153"/>
            <w:shd w:fill="FFFFFF" w:val="clear"/>
          </w:tcPr>
          <w:p>
            <w:pPr>
              <w:pStyle w:val="Compact"/>
              <w:spacing w:after="60"/>
            </w:pPr>
            <w:r>
              <w:rPr>
                <w:rFonts w:ascii="Times New Roman" w:hAnsi="Times New Roman" w:eastAsia="Times New Roman"/>
                <w:sz w:val="18"/>
              </w:rPr>
              <w:t xml:space="preserve">Fragile, indeterminate, or incommensurable.</w:t>
            </w:r>
          </w:p>
        </w:tc>
      </w:tr>
    </w:tbl>
    <w:bookmarkEnd w:id="125"/>
    <w:bookmarkStart w:id="126" w:name="appendix-h-prohibited-inferences"/>
    <w:p>
      <w:pPr>
        <w:pStyle w:val="Heading2"/>
        <w:pageBreakBefore/>
      </w:pPr>
      <w:r>
        <w:t xml:space="preserve">Appendix H: Prohibited inferences</w:t>
      </w:r>
    </w:p>
    <w:p>
      <w:pPr>
        <w:pStyle w:val="Compact"/>
        <w:numPr>
          <w:ilvl w:val="0"/>
          <w:numId w:val="1007"/>
        </w:numPr>
      </w:pPr>
      <w:r>
        <w:t xml:space="preserve">“The content was decoded in many regions, therefore it was globally available.”</w:t>
      </w:r>
    </w:p>
    <w:p>
      <w:pPr>
        <w:pStyle w:val="Compact"/>
        <w:numPr>
          <w:ilvl w:val="0"/>
          <w:numId w:val="1007"/>
        </w:numPr>
      </w:pPr>
      <w:r>
        <w:t xml:space="preserve">“The subject did not report, therefore</w:t>
      </w:r>
      <w:r>
        <w:t xml:space="preserve"> </w:t>
      </w:r>
      <m:oMath>
        <m:sSub>
          <m:e>
            <m:r>
              <m:t>N</m:t>
            </m:r>
          </m:e>
          <m:sub>
            <m:r>
              <m:t>2</m:t>
            </m:r>
          </m:sub>
        </m:sSub>
      </m:oMath>
      <w:r>
        <w:t xml:space="preserve"> </w:t>
      </w:r>
      <w:r>
        <w:t xml:space="preserve">failed.”</w:t>
      </w:r>
    </w:p>
    <w:p>
      <w:pPr>
        <w:pStyle w:val="Compact"/>
        <w:numPr>
          <w:ilvl w:val="0"/>
          <w:numId w:val="1007"/>
        </w:numPr>
      </w:pPr>
      <w:r>
        <w:t xml:space="preserve">“Prefrontal cortex was inactive, therefore broadcast was absent.”</w:t>
      </w:r>
    </w:p>
    <w:p>
      <w:pPr>
        <w:pStyle w:val="Compact"/>
        <w:numPr>
          <w:ilvl w:val="0"/>
          <w:numId w:val="1007"/>
        </w:numPr>
      </w:pPr>
      <w:r>
        <w:t xml:space="preserve">“The thalamus changed arousal, therefore it broadcast the content.”</w:t>
      </w:r>
    </w:p>
    <w:p>
      <w:pPr>
        <w:pStyle w:val="Compact"/>
        <w:numPr>
          <w:ilvl w:val="0"/>
          <w:numId w:val="1007"/>
        </w:numPr>
      </w:pPr>
      <w:r>
        <w:t xml:space="preserve">“A signal reached many nodes, therefore it reached many functions.”</w:t>
      </w:r>
    </w:p>
    <w:p>
      <w:pPr>
        <w:pStyle w:val="Compact"/>
        <w:numPr>
          <w:ilvl w:val="0"/>
          <w:numId w:val="1007"/>
        </w:numPr>
      </w:pPr>
      <w:r>
        <w:t xml:space="preserve">“The system has a message bus, therefore every message is globally available.”</w:t>
      </w:r>
    </w:p>
    <w:p>
      <w:pPr>
        <w:pStyle w:val="Compact"/>
        <w:numPr>
          <w:ilvl w:val="0"/>
          <w:numId w:val="1007"/>
        </w:numPr>
      </w:pPr>
      <w:r>
        <w:t xml:space="preserve">“One executive accessed the content, therefore the rest of the system could.”</w:t>
      </w:r>
    </w:p>
    <w:p>
      <w:pPr>
        <w:pStyle w:val="Compact"/>
        <w:numPr>
          <w:ilvl w:val="0"/>
          <w:numId w:val="1007"/>
        </w:numPr>
      </w:pPr>
      <w:r>
        <w:t xml:space="preserve">“A recipient responded in one engineered context, therefore the content was generally available to it.”</w:t>
      </w:r>
    </w:p>
    <w:p>
      <w:pPr>
        <w:pStyle w:val="Compact"/>
        <w:numPr>
          <w:ilvl w:val="0"/>
          <w:numId w:val="1007"/>
        </w:numPr>
      </w:pPr>
      <w:r>
        <w:t xml:space="preserve">“The intervention was decoded at its injection site, therefore a recipient was reached.”</w:t>
      </w:r>
    </w:p>
    <w:p>
      <w:pPr>
        <w:pStyle w:val="Compact"/>
        <w:numPr>
          <w:ilvl w:val="0"/>
          <w:numId w:val="1007"/>
        </w:numPr>
      </w:pPr>
      <w:r>
        <w:t xml:space="preserve">“The intervention produced a global state, therefore the pre-intervention content was available.”</w:t>
      </w:r>
    </w:p>
    <w:p>
      <w:pPr>
        <w:pStyle w:val="Compact"/>
        <w:numPr>
          <w:ilvl w:val="0"/>
          <w:numId w:val="1007"/>
        </w:numPr>
      </w:pPr>
      <w:r>
        <w:t xml:space="preserve">“An</w:t>
      </w:r>
      <w:r>
        <w:t xml:space="preserve"> </w:t>
      </w:r>
      <m:oMath>
        <m:sSub>
          <m:e>
            <m:r>
              <m:t>N</m:t>
            </m:r>
          </m:e>
          <m:sub>
            <m:r>
              <m:t>2</m:t>
            </m:r>
          </m:sub>
        </m:sSub>
      </m:oMath>
      <w:r>
        <w:t xml:space="preserve"> </w:t>
      </w:r>
      <w:r>
        <w:t xml:space="preserve">test was unlicensed, therefore the content was unavailable.”</w:t>
      </w:r>
    </w:p>
    <w:p>
      <w:pPr>
        <w:pStyle w:val="Compact"/>
        <w:numPr>
          <w:ilvl w:val="0"/>
          <w:numId w:val="1007"/>
        </w:numPr>
      </w:pPr>
      <w:r>
        <w:t xml:space="preserve">“</w:t>
      </w:r>
      <m:oMath>
        <m:sSub>
          <m:e>
            <m:r>
              <m:t>N</m:t>
            </m:r>
          </m:e>
          <m:sub>
            <m:r>
              <m:t>2</m:t>
            </m:r>
          </m:sub>
        </m:sSub>
      </m:oMath>
      <w:r>
        <w:t xml:space="preserve"> </w:t>
      </w:r>
      <w:r>
        <w:t xml:space="preserve">was positive, therefore the system was conscious.”</w:t>
      </w:r>
    </w:p>
    <w:bookmarkEnd w:id="126"/>
    <w:bookmarkStart w:id="127" w:name="X1c99cc1f6990d046bb24a65e2633ed97726d407"/>
    <w:p>
      <w:pPr>
        <w:pStyle w:val="Heading2"/>
        <w:pageBreakBefore/>
      </w:pPr>
      <w:r>
        <w:t xml:space="preserve">Appendix I: Minimum availability audit record</w:t>
      </w:r>
    </w:p>
    <w:p>
      <w:pPr>
        <w:pStyle w:val="FirstParagraph"/>
      </w:pPr>
      <w:r>
        <w:t xml:space="preserve">Every published</w:t>
      </w:r>
      <w:r>
        <w:t xml:space="preserve"> </w:t>
      </w:r>
      <m:oMath>
        <m:sSub>
          <m:e>
            <m:r>
              <m:t>N</m:t>
            </m:r>
          </m:e>
          <m:sub>
            <m:r>
              <m:t>2</m:t>
            </m:r>
          </m:sub>
        </m:sSub>
      </m:oMath>
      <w:r>
        <w:t xml:space="preserve"> </w:t>
      </w:r>
      <w:r>
        <w:t xml:space="preserve">result should preserve:</w:t>
      </w:r>
    </w:p>
    <w:p>
      <w:pPr>
        <w:pStyle w:val="Compact"/>
        <w:numPr>
          <w:ilvl w:val="0"/>
          <w:numId w:val="1008"/>
        </w:numPr>
      </w:pPr>
      <w:r>
        <w:t xml:space="preserve">the frozen candidate boundary, grain, horizon, and regime;</w:t>
      </w:r>
    </w:p>
    <w:p>
      <w:pPr>
        <w:pStyle w:val="Compact"/>
        <w:numPr>
          <w:ilvl w:val="0"/>
          <w:numId w:val="1008"/>
        </w:numPr>
      </w:pPr>
      <w:r>
        <w:t xml:space="preserve">the target and control contents plus localization evidence;</w:t>
      </w:r>
    </w:p>
    <w:p>
      <w:pPr>
        <w:pStyle w:val="Compact"/>
        <w:numPr>
          <w:ilvl w:val="0"/>
          <w:numId w:val="1008"/>
        </w:numPr>
      </w:pPr>
      <w:r>
        <w:t xml:space="preserve">the calibration data and recipient-class construction;</w:t>
      </w:r>
    </w:p>
    <w:p>
      <w:pPr>
        <w:pStyle w:val="Compact"/>
        <w:numPr>
          <w:ilvl w:val="0"/>
          <w:numId w:val="1008"/>
        </w:numPr>
      </w:pPr>
      <w:r>
        <w:t xml:space="preserve">native response variables and effect metrics for every class;</w:t>
      </w:r>
    </w:p>
    <w:p>
      <w:pPr>
        <w:pStyle w:val="Compact"/>
        <w:numPr>
          <w:ilvl w:val="0"/>
          <w:numId w:val="1008"/>
        </w:numPr>
      </w:pPr>
      <w:r>
        <w:t xml:space="preserve">admissible contexts, burden functional, context weights, and preparation-cost justification;</w:t>
      </w:r>
    </w:p>
    <w:p>
      <w:pPr>
        <w:pStyle w:val="Compact"/>
        <w:numPr>
          <w:ilvl w:val="0"/>
          <w:numId w:val="1008"/>
        </w:numPr>
      </w:pPr>
      <w:r>
        <w:t xml:space="preserve">source-fidelity and source-leakage checks;</w:t>
      </w:r>
    </w:p>
    <w:p>
      <w:pPr>
        <w:pStyle w:val="Compact"/>
        <w:numPr>
          <w:ilvl w:val="0"/>
          <w:numId w:val="1008"/>
        </w:numPr>
      </w:pPr>
      <w:r>
        <w:t xml:space="preserve">intervention magnitude, support, timing, and regime diagnostics;</w:t>
      </w:r>
    </w:p>
    <w:p>
      <w:pPr>
        <w:pStyle w:val="Compact"/>
        <w:numPr>
          <w:ilvl w:val="0"/>
          <w:numId w:val="1008"/>
        </w:numPr>
      </w:pPr>
      <w:r>
        <w:t xml:space="preserve">matched-energy, shuffled-content, common-input, and arousal controls;</w:t>
      </w:r>
    </w:p>
    <w:p>
      <w:pPr>
        <w:pStyle w:val="Compact"/>
        <w:numPr>
          <w:ilvl w:val="0"/>
          <w:numId w:val="1008"/>
        </w:numPr>
      </w:pPr>
      <w:r>
        <w:t xml:space="preserve">class-specific effect, latency, selectivity, route, and context-robustness intervals;</w:t>
      </w:r>
    </w:p>
    <w:p>
      <w:pPr>
        <w:pStyle w:val="Compact"/>
        <w:numPr>
          <w:ilvl w:val="0"/>
          <w:numId w:val="1008"/>
        </w:numPr>
      </w:pPr>
      <w:r>
        <w:t xml:space="preserve">class weights, coverage, count, and diversity calculations;</w:t>
      </w:r>
    </w:p>
    <w:p>
      <w:pPr>
        <w:pStyle w:val="Compact"/>
        <w:numPr>
          <w:ilvl w:val="0"/>
          <w:numId w:val="1008"/>
        </w:numPr>
      </w:pPr>
      <w:r>
        <w:t xml:space="preserve">report- and executive-excluded results;</w:t>
      </w:r>
    </w:p>
    <w:p>
      <w:pPr>
        <w:pStyle w:val="Compact"/>
        <w:numPr>
          <w:ilvl w:val="0"/>
          <w:numId w:val="1008"/>
        </w:numPr>
      </w:pPr>
      <w:r>
        <w:t xml:space="preserve">rejected and unresolved classes with reasons;</w:t>
      </w:r>
    </w:p>
    <w:p>
      <w:pPr>
        <w:pStyle w:val="Compact"/>
        <w:numPr>
          <w:ilvl w:val="0"/>
          <w:numId w:val="1008"/>
        </w:numPr>
      </w:pPr>
      <w:r>
        <w:t xml:space="preserve">sensitivity across grains, taxonomies, estimators, contexts, and thresholds;</w:t>
      </w:r>
    </w:p>
    <w:p>
      <w:pPr>
        <w:pStyle w:val="Compact"/>
        <w:numPr>
          <w:ilvl w:val="0"/>
          <w:numId w:val="1008"/>
        </w:numPr>
      </w:pPr>
      <w:r>
        <w:t xml:space="preserve">the four-outcome component result and scope limitation;</w:t>
      </w:r>
    </w:p>
    <w:p>
      <w:pPr>
        <w:pStyle w:val="Compact"/>
        <w:numPr>
          <w:ilvl w:val="0"/>
          <w:numId w:val="1008"/>
        </w:numPr>
      </w:pPr>
      <w:r>
        <w:t xml:space="preserve">the separate later</w:t>
      </w:r>
      <w:r>
        <w:t xml:space="preserve"> </w:t>
      </w:r>
      <m:oMath>
        <m:sSup>
          <m:e>
            <m:r>
              <m:t>N</m:t>
            </m:r>
          </m:e>
          <m:sup>
            <m:r>
              <m:rPr>
                <m:sty m:val="p"/>
              </m:rPr>
              <m:t>*</m:t>
            </m:r>
          </m:sup>
        </m:sSup>
      </m:oMath>
      <w:r>
        <w:t xml:space="preserve"> </w:t>
      </w:r>
      <w:r>
        <w:t xml:space="preserve">or consciousness classification, if any.</w:t>
      </w:r>
    </w:p>
    <w:bookmarkEnd w:id="127"/>
    <w:sectPr>
      <w:headerReference w:type="default" r:id="rId10"/>
      <w:footerReference w:type="default" r:id="rId11"/>
      <w:footnotePr>
        <w:numRestart w:val="eachSect"/>
      </w:footnotePr>
      <w:pgMar w:top="1224" w:bottom="1152" w:left="1440" w:right="1440" w:header="504" w:foot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sz w:val="18"/>
      </w:rPr>
      <w:t>CONSCIOUSNESS WITHOUT REPORT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76" w:lineRule="auto" w:after="120"/>
    </w:pPr>
    <w:rPr>
      <w:rFonts w:ascii="Times New Roman" w:hAnsi="Times New Roman" w:eastAsia="Times New Roman"/>
      <w:sz w:val="22"/>
    </w:rPr>
  </w:style>
  <w:style w:styleId="BodyText" w:type="paragraph">
    <w:name w:val="Body Text"/>
    <w:basedOn w:val="Normal"/>
    <w:link w:val="BodyTextChar"/>
    <w:qFormat/>
    <w:pPr>
      <w:widowControl/>
      <w:spacing w:after="120" w:before="180" w:line="276" w:lineRule="auto"/>
    </w:pPr>
    <w:rPr>
      <w:rFonts w:ascii="Times New Roman" w:hAnsi="Times New Roman" w:eastAsia="Times New Roman"/>
      <w:sz w:val="22"/>
    </w:rPr>
  </w:style>
  <w:style w:customStyle="1" w:styleId="FirstParagraph" w:type="paragraph">
    <w:name w:val="First Paragraph"/>
    <w:basedOn w:val="BodyText"/>
    <w:next w:val="BodyText"/>
    <w:qFormat/>
    <w:pPr>
      <w:widowControl/>
      <w:spacing w:line="276" w:lineRule="auto" w:after="120"/>
    </w:pPr>
    <w:rPr>
      <w:rFonts w:ascii="Times New Roman" w:hAnsi="Times New Roman" w:eastAsia="Times New Roman"/>
      <w:sz w:val="22"/>
    </w:rPr>
  </w:style>
  <w:style w:customStyle="1" w:styleId="Compact" w:type="paragraph">
    <w:name w:val="Compact"/>
    <w:basedOn w:val="BodyText"/>
    <w:qFormat/>
    <w:pPr>
      <w:widowControl/>
      <w:spacing w:after="120" w:before="36" w:line="276" w:lineRule="auto"/>
    </w:pPr>
    <w:rPr>
      <w:rFonts w:ascii="Times New Roman" w:hAnsi="Times New Roman" w:eastAsia="Times New Roman"/>
      <w:sz w:val="22"/>
    </w:rPr>
  </w:style>
  <w:style w:styleId="Title" w:type="paragraph">
    <w:name w:val="Title"/>
    <w:basedOn w:val="Normal"/>
    <w:next w:val="BodyText"/>
    <w:link w:val="TitleChar"/>
    <w:uiPriority w:val="10"/>
    <w:qFormat/>
    <w:rsid w:val="00A10FD9"/>
    <w:pPr>
      <w:spacing w:after="160" w:line="240" w:lineRule="auto" w:before="1600"/>
      <w:contextualSpacing/>
      <w:jc w:val="center"/>
    </w:pPr>
    <w:rPr>
      <w:rFonts w:asciiTheme="majorHAnsi" w:cstheme="majorBidi" w:eastAsiaTheme="majorEastAsia" w:hAnsiTheme="majorHAnsi" w:ascii="Times New Roman" w:hAnsi="Times New Roman" w:eastAsia="Times New Roman"/>
      <w:b/>
      <w:color w:val="1C2D40"/>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560"/>
    </w:pPr>
    <w:rPr>
      <w:rFonts w:cstheme="majorBidi" w:eastAsiaTheme="majorEastAsia" w:ascii="Times New Roman" w:hAnsi="Times New Roman" w:eastAsia="Times New Roman"/>
      <w:i/>
      <w:color w:val="424D58"/>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160"/>
    </w:pPr>
    <w:rPr>
      <w:rFonts w:ascii="Times New Roman" w:hAnsi="Times New Roman" w:eastAsia="Times New Roman"/>
      <w:sz w:val="24"/>
      <w:szCs w:val="24"/>
    </w:rPr>
  </w:style>
  <w:style w:styleId="Date" w:type="paragraph">
    <w:name w:val="Date"/>
    <w:basedOn w:val="Title"/>
    <w:next w:val="BodyText"/>
    <w:qFormat/>
    <w:pPr>
      <w:keepNext/>
      <w:keepLines/>
      <w:spacing w:line="276" w:lineRule="auto"/>
    </w:pPr>
    <w:rPr>
      <w:rFonts w:ascii="Times New Roman" w:hAnsi="Times New Roman" w:eastAsia="Times New Roman"/>
      <w:sz w:val="20"/>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outlineLvl w:val="0"/>
    </w:pPr>
    <w:rPr>
      <w:rFonts w:asciiTheme="majorHAnsi" w:cstheme="majorBidi" w:eastAsiaTheme="majorEastAsia" w:hAnsiTheme="majorHAnsi" w:ascii="Times New Roman" w:hAnsi="Times New Roman" w:eastAsia="Times New Roman"/>
      <w:b/>
      <w:color w:val="1C2D40"/>
      <w:sz w:val="30"/>
      <w:szCs w:val="40"/>
    </w:rPr>
  </w:style>
  <w:style w:styleId="Heading2" w:type="paragraph">
    <w:name w:val="heading 2"/>
    <w:basedOn w:val="Normal"/>
    <w:next w:val="BodyText"/>
    <w:link w:val="Heading2Char"/>
    <w:uiPriority w:val="9"/>
    <w:semiHidden/>
    <w:unhideWhenUsed/>
    <w:qFormat/>
    <w:rsid w:val="00A10FD9"/>
    <w:pPr>
      <w:keepNext/>
      <w:keepLines/>
      <w:spacing w:after="120" w:before="280"/>
      <w:outlineLvl w:val="1"/>
    </w:pPr>
    <w:rPr>
      <w:rFonts w:asciiTheme="majorHAnsi" w:cstheme="majorBidi" w:eastAsiaTheme="majorEastAsia" w:hAnsiTheme="majorHAnsi" w:ascii="Times New Roman" w:hAnsi="Times New Roman" w:eastAsia="Times New Roman"/>
      <w:b/>
      <w:color w:val="1C2D40"/>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200"/>
      <w:outlineLvl w:val="2"/>
    </w:pPr>
    <w:rPr>
      <w:rFonts w:cstheme="majorBidi" w:eastAsiaTheme="majorEastAsia" w:ascii="Times New Roman" w:hAnsi="Times New Roman" w:eastAsia="Times New Roman"/>
      <w:b/>
      <w:color w:val="1C2D4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120"/>
      <w:ind w:firstLine="0" w:left="504" w:right="504"/>
    </w:pPr>
    <w:rPr>
      <w:rFonts w:ascii="Times New Roman" w:hAnsi="Times New Roman" w:eastAsia="Times New Roman"/>
      <w:i/>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3" Type="http://schemas.openxmlformats.org/officeDocument/2006/relationships/image" Target="media/rId33.png"/><Relationship Id="rId39" Type="http://schemas.openxmlformats.org/officeDocument/2006/relationships/image" Target="media/rId39.png"/><Relationship Id="rId9" Type="http://schemas.openxmlformats.org/officeDocument/2006/relationships/image" Target="media/rId9.png"/><Relationship Id="rId95" Type="http://schemas.openxmlformats.org/officeDocument/2006/relationships/hyperlink" Target="https://doi.org/10.1016/j.neuron.2011.03.018" TargetMode="External"/><Relationship Id="rId107" Type="http://schemas.openxmlformats.org/officeDocument/2006/relationships/hyperlink" Target="https://doi.org/10.1016/j.neuron.2020.01.005" TargetMode="External"/><Relationship Id="rId104" Type="http://schemas.openxmlformats.org/officeDocument/2006/relationships/hyperlink" Target="https://doi.org/10.1016/j.neuron.2020.01.026" TargetMode="External"/><Relationship Id="rId109" Type="http://schemas.openxmlformats.org/officeDocument/2006/relationships/hyperlink" Target="https://doi.org/10.1016/j.neuron.2024.02.004" TargetMode="External"/><Relationship Id="rId101" Type="http://schemas.openxmlformats.org/officeDocument/2006/relationships/hyperlink" Target="https://doi.org/10.1016/j.tics.2006.09.001" TargetMode="External"/><Relationship Id="rId110" Type="http://schemas.openxmlformats.org/officeDocument/2006/relationships/hyperlink" Target="https://doi.org/10.1016/j.tics.2015.10.002" TargetMode="External"/><Relationship Id="rId105" Type="http://schemas.openxmlformats.org/officeDocument/2006/relationships/hyperlink" Target="https://doi.org/10.1017/CBO9780511803161" TargetMode="External"/><Relationship Id="rId91" Type="http://schemas.openxmlformats.org/officeDocument/2006/relationships/hyperlink" Target="https://doi.org/10.1017/S0140525X00038188" TargetMode="External"/><Relationship Id="rId98" Type="http://schemas.openxmlformats.org/officeDocument/2006/relationships/hyperlink" Target="https://doi.org/10.1038/nature03288" TargetMode="External"/><Relationship Id="rId97" Type="http://schemas.openxmlformats.org/officeDocument/2006/relationships/hyperlink" Target="https://doi.org/10.1038/ncomms9414" TargetMode="External"/><Relationship Id="rId108" Type="http://schemas.openxmlformats.org/officeDocument/2006/relationships/hyperlink" Target="https://doi.org/10.1038/s41467-018-06876-w" TargetMode="External"/><Relationship Id="rId93" Type="http://schemas.openxmlformats.org/officeDocument/2006/relationships/hyperlink" Target="https://doi.org/10.1038/s41467-021-23509-x" TargetMode="External"/><Relationship Id="rId99" Type="http://schemas.openxmlformats.org/officeDocument/2006/relationships/hyperlink" Target="https://doi.org/10.1038/s41467-022-28897-2" TargetMode="External"/><Relationship Id="rId100" Type="http://schemas.openxmlformats.org/officeDocument/2006/relationships/hyperlink" Target="https://doi.org/10.1038/s41467-022-35117-4" TargetMode="External"/><Relationship Id="rId94" Type="http://schemas.openxmlformats.org/officeDocument/2006/relationships/hyperlink" Target="https://doi.org/10.1038/s41586-025-08888-1" TargetMode="External"/><Relationship Id="rId102" Type="http://schemas.openxmlformats.org/officeDocument/2006/relationships/hyperlink" Target="https://doi.org/10.1038/s41592-025-02654-x" TargetMode="External"/><Relationship Id="rId103" Type="http://schemas.openxmlformats.org/officeDocument/2006/relationships/hyperlink" Target="https://doi.org/10.1038/s41593-025-02009-x" TargetMode="External"/><Relationship Id="rId92" Type="http://schemas.openxmlformats.org/officeDocument/2006/relationships/hyperlink" Target="https://doi.org/10.1126/scitranslmed.3006294" TargetMode="External"/><Relationship Id="rId96" Type="http://schemas.openxmlformats.org/officeDocument/2006/relationships/hyperlink" Target="https://doi.org/10.1523/JNEUROSCI.4403-13.2014" TargetMode="External"/><Relationship Id="rId106" Type="http://schemas.openxmlformats.org/officeDocument/2006/relationships/hyperlink" Target="https://doi.org/10.3389/fpsyg.2014.01078" TargetMode="External"/><Relationship Id="rId111" Type="http://schemas.openxmlformats.org/officeDocument/2006/relationships/hyperlink" Target="https://philstilwell.github.io/C0/" TargetMode="External"/><Relationship Id="rId10" Type="http://schemas.openxmlformats.org/officeDocument/2006/relationships/header" Target="header1.xml"/><Relationship Id="rId11" Type="http://schemas.openxmlformats.org/officeDocument/2006/relationships/footer" Target="footer1.xml"/></Relationships>
</file>

<file path=word/_rels/footnotes.xml.rels><?xml version='1.0' encoding='UTF-8' standalone='yes'?>
<Relationships xmlns="http://schemas.openxmlformats.org/package/2006/relationships"><Relationship Id="rId95" Type="http://schemas.openxmlformats.org/officeDocument/2006/relationships/hyperlink" Target="https://doi.org/10.1016/j.neuron.2011.03.018" TargetMode="External"/><Relationship Id="rId107" Type="http://schemas.openxmlformats.org/officeDocument/2006/relationships/hyperlink" Target="https://doi.org/10.1016/j.neuron.2020.01.005" TargetMode="External"/><Relationship Id="rId104" Type="http://schemas.openxmlformats.org/officeDocument/2006/relationships/hyperlink" Target="https://doi.org/10.1016/j.neuron.2020.01.026" TargetMode="External"/><Relationship Id="rId109" Type="http://schemas.openxmlformats.org/officeDocument/2006/relationships/hyperlink" Target="https://doi.org/10.1016/j.neuron.2024.02.004" TargetMode="External"/><Relationship Id="rId101" Type="http://schemas.openxmlformats.org/officeDocument/2006/relationships/hyperlink" Target="https://doi.org/10.1016/j.tics.2006.09.001" TargetMode="External"/><Relationship Id="rId110" Type="http://schemas.openxmlformats.org/officeDocument/2006/relationships/hyperlink" Target="https://doi.org/10.1016/j.tics.2015.10.002" TargetMode="External"/><Relationship Id="rId105" Type="http://schemas.openxmlformats.org/officeDocument/2006/relationships/hyperlink" Target="https://doi.org/10.1017/CBO9780511803161" TargetMode="External"/><Relationship Id="rId91" Type="http://schemas.openxmlformats.org/officeDocument/2006/relationships/hyperlink" Target="https://doi.org/10.1017/S0140525X00038188" TargetMode="External"/><Relationship Id="rId98" Type="http://schemas.openxmlformats.org/officeDocument/2006/relationships/hyperlink" Target="https://doi.org/10.1038/nature03288" TargetMode="External"/><Relationship Id="rId97" Type="http://schemas.openxmlformats.org/officeDocument/2006/relationships/hyperlink" Target="https://doi.org/10.1038/ncomms9414" TargetMode="External"/><Relationship Id="rId108" Type="http://schemas.openxmlformats.org/officeDocument/2006/relationships/hyperlink" Target="https://doi.org/10.1038/s41467-018-06876-w" TargetMode="External"/><Relationship Id="rId93" Type="http://schemas.openxmlformats.org/officeDocument/2006/relationships/hyperlink" Target="https://doi.org/10.1038/s41467-021-23509-x" TargetMode="External"/><Relationship Id="rId99" Type="http://schemas.openxmlformats.org/officeDocument/2006/relationships/hyperlink" Target="https://doi.org/10.1038/s41467-022-28897-2" TargetMode="External"/><Relationship Id="rId100" Type="http://schemas.openxmlformats.org/officeDocument/2006/relationships/hyperlink" Target="https://doi.org/10.1038/s41467-022-35117-4" TargetMode="External"/><Relationship Id="rId94" Type="http://schemas.openxmlformats.org/officeDocument/2006/relationships/hyperlink" Target="https://doi.org/10.1038/s41586-025-08888-1" TargetMode="External"/><Relationship Id="rId102" Type="http://schemas.openxmlformats.org/officeDocument/2006/relationships/hyperlink" Target="https://doi.org/10.1038/s41592-025-02654-x" TargetMode="External"/><Relationship Id="rId103" Type="http://schemas.openxmlformats.org/officeDocument/2006/relationships/hyperlink" Target="https://doi.org/10.1038/s41593-025-02009-x" TargetMode="External"/><Relationship Id="rId92" Type="http://schemas.openxmlformats.org/officeDocument/2006/relationships/hyperlink" Target="https://doi.org/10.1126/scitranslmed.3006294" TargetMode="External"/><Relationship Id="rId96" Type="http://schemas.openxmlformats.org/officeDocument/2006/relationships/hyperlink" Target="https://doi.org/10.1523/JNEUROSCI.4403-13.2014" TargetMode="External"/><Relationship Id="rId106" Type="http://schemas.openxmlformats.org/officeDocument/2006/relationships/hyperlink" Target="https://doi.org/10.3389/fpsyg.2014.01078" TargetMode="External"/><Relationship Id="rId111" Type="http://schemas.openxmlformats.org/officeDocument/2006/relationships/hyperlink" Target="https://philstilwell.github.io/C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Consciousness Without Report</dc:title>
  <dc:creator>Phil Stilwell</dc:creator>
  <cp:keywords>consciousness; no-report paradigms; system-wide availability; causal availability; broadcast; counterfactual intervention; functional diversity; context robustness; global workspace; posterior cortex; thalamocortical systems; artificial consciousness</cp:keywords>
  <dcterms:created xsi:type="dcterms:W3CDTF">2026-07-11T13:54:18Z</dcterms:created>
  <dcterms:modified xsi:type="dcterms:W3CDTF">2026-07-11T13:54:18Z</dcterms:modified>
  <dc:subject>What System-Wide Availability Actually Requires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Independent Scholar ORCID: 0009-0009-3725-8682 July 11, 2026</vt:lpwstr>
  </property>
  <property fmtid="{D5CDD505-2E9C-101B-9397-08002B2CF9AE}" pid="3" name="subtitle">
    <vt:lpwstr>What System-Wide Availability Actually Requires</vt:lpwstr>
  </property>
</Properties>
</file>