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Is the Conscious Subject?</w:t>
      </w:r>
    </w:p>
    <w:p>
      <w:pPr>
        <w:pStyle w:val="Subtitle"/>
      </w:pPr>
      <w:r>
        <w:t xml:space="preserve">A Dynamical Criterion for System Boundaries</w:t>
      </w:r>
    </w:p>
    <w:p>
      <w:pPr>
        <w:pStyle w:val="Author"/>
      </w:pPr>
      <w:r>
        <w:t xml:space="preserve">Phil Stilwell</w:t>
      </w:r>
    </w:p>
    <w:p>
      <w:pPr>
        <w:pStyle w:val="Date"/>
      </w:pPr>
      <w:r>
        <w:t xml:space="preserve">Independent Scholar</w:t>
      </w:r>
      <w:r>
        <w:br/>
      </w:r>
      <w:r>
        <w:t xml:space="preserve">ORCID: 0009-0009-3725-8682</w:t>
      </w:r>
    </w:p>
    <w:bookmarkStart w:id="9" w:name="abstract"/>
    <w:p>
      <w:pPr>
        <w:pStyle w:val="Heading2"/>
        <w:pageBreakBefore/>
      </w:pPr>
      <w:r>
        <w:t xml:space="preserve">Abstract</w:t>
      </w:r>
    </w:p>
    <w:p>
      <w:pPr>
        <w:pStyle w:val="FirstParagraph"/>
      </w:pPr>
      <w:r>
        <w:t xml:space="preserve">Theories of consciousness commonly measure integration, availability, recurrence, complexity, or causal power in a candidate system. Yet these quantities are not defined until investigators decide which variables belong to the system, at what spatial and temporal grain, and across which interval. Different boundaries can reverse the result. A hemisphere, thalamocortical network, brain, brain-body loop, human dyad, organoid-computer assembly, or distributed artificial architecture may each appear integrated or fragmented depending on which nodes are admitted. This paper argues that system individuation must therefore precede consciousness measurement and cannot be selected retrospectively to improve a preferred score. It proposes a boundary-first criterion: at a preregistered grain and horizon, generate candidate systems using consciousness-independent evidence of dynamical autonomy; then identify the inclusion-minimal candidate or candidates that jointly realize the target roles of integration, availability, recurrence, and viability. Strict causal closure is treated as a limiting case. Open biological and artificial systems instead qualify through sufficient autonomy: their endogenous dynamics must make a substantial difference to their own future organization, external dependence must remain below a declared tolerance, and apparent closure must survive perturbation, replacement, and boundary-sensitivity tests. The procedure distinguishes constitutive components from inputs, outputs, and enabling supports; returns multiple candidates when the data support multiple subjects; and returns boundary indeterminacy when reasonable specifications yield incompatible partitions. Applications to split brains, cortical-subcortical organization, brain-body loops, coupled agents, organoid-computer systems, and distributed artificial intelligence show how the criterion changes empirical practice. The proposal does not infer consciousness from autonomy. It supplies the prior individuation step required before a theory-specific consciousness test can be interpreted.</w:t>
      </w:r>
    </w:p>
    <w:p>
      <w:pPr>
        <w:pStyle w:val="BodyText"/>
      </w:pPr>
      <w:r>
        <w:rPr>
          <w:b/>
          <w:bCs/>
        </w:rPr>
        <w:t xml:space="preserve">Keywords:</w:t>
      </w:r>
      <w:r>
        <w:t xml:space="preserve"> </w:t>
      </w:r>
      <w:r>
        <w:t xml:space="preserve">consciousness; system individuation; system boundaries; dynamical autonomy; causal closure; integration; recurrence; global availability; split brain; embodied consciousness; organoid intelligence; artificial consciousness</w:t>
      </w:r>
    </w:p>
    <w:bookmarkEnd w:id="9"/>
    <w:bookmarkStart w:id="12" w:name="Xbeafd67c6dcb7b85ae8601d7b2dd1a1f6a1631c"/>
    <w:p>
      <w:pPr>
        <w:pStyle w:val="Heading2"/>
      </w:pPr>
      <w:r>
        <w:t xml:space="preserve">1. Introduction: Measurement Requires a Measured System</w:t>
      </w:r>
    </w:p>
    <w:p>
      <w:pPr>
        <w:pStyle w:val="FirstParagraph"/>
      </w:pPr>
      <w:r>
        <w:t xml:space="preserve">Consciousness science often begins with a system already in hand. Investigators measure integration in</w:t>
      </w:r>
      <w:r>
        <w:t xml:space="preserve"> </w:t>
      </w:r>
      <w:r>
        <w:t xml:space="preserve">“the brain,”</w:t>
      </w:r>
      <w:r>
        <w:t xml:space="preserve"> </w:t>
      </w:r>
      <w:r>
        <w:t xml:space="preserve">broadcast across</w:t>
      </w:r>
      <w:r>
        <w:t xml:space="preserve"> </w:t>
      </w:r>
      <w:r>
        <w:t xml:space="preserve">“the workspace,”</w:t>
      </w:r>
      <w:r>
        <w:t xml:space="preserve"> </w:t>
      </w:r>
      <w:r>
        <w:t xml:space="preserve">recurrence within</w:t>
      </w:r>
      <w:r>
        <w:t xml:space="preserve"> </w:t>
      </w:r>
      <w:r>
        <w:t xml:space="preserve">“the visual system,”</w:t>
      </w:r>
      <w:r>
        <w:t xml:space="preserve"> </w:t>
      </w:r>
      <w:r>
        <w:t xml:space="preserve">or complexity in</w:t>
      </w:r>
      <w:r>
        <w:t xml:space="preserve"> </w:t>
      </w:r>
      <w:r>
        <w:t xml:space="preserve">“the network.”</w:t>
      </w:r>
      <w:r>
        <w:t xml:space="preserve"> </w:t>
      </w:r>
      <w:r>
        <w:t xml:space="preserve">The definite article hides a methodological decision. Which neurons, regions, modules, devices, bodily processes, or agents compose the relevant system? At what spatial and temporal grain should they be represented? Is the candidate the cortex, the thalamocortical system, the whole brain, the brain-body loop, one hemisphere, two coupled organisms, an organoid plus its electrode array, or an artificial model plus the memory, scheduler, and tools that make its activity persistent?</w:t>
      </w:r>
    </w:p>
    <w:p>
      <w:pPr>
        <w:pStyle w:val="BodyText"/>
      </w:pPr>
      <w:r>
        <w:t xml:space="preserve">These questions cannot be postponed. Measures of system-level organization are functions of a boundary. If</w:t>
      </w:r>
      <w:r>
        <w:t xml:space="preserve"> </w:t>
      </w:r>
      <m:oMath>
        <m:r>
          <m:t>S</m:t>
        </m:r>
      </m:oMath>
      <w:r>
        <w:t xml:space="preserve"> </w:t>
      </w:r>
      <w:r>
        <w:t xml:space="preserve">is the selected set of variables, a consciousness-relevant measure has the form</w:t>
      </w:r>
    </w:p>
    <w:p>
      <w:pPr>
        <w:pStyle w:val="BodyText"/>
      </w:pPr>
      <m:oMathPara>
        <m:oMathParaPr>
          <m:jc m:val="center"/>
        </m:oMathParaPr>
        <m:oMath>
          <m:sSub>
            <m:e>
              <m:r>
                <m:t>M</m:t>
              </m:r>
            </m:e>
            <m:sub>
              <m:r>
                <m:t>i</m:t>
              </m:r>
            </m:sub>
          </m:sSub>
          <m:r>
            <m:rPr>
              <m:sty m:val="p"/>
            </m:rPr>
            <m:t>=</m:t>
          </m:r>
          <m:sSub>
            <m:e>
              <m:r>
                <m:t>M</m:t>
              </m:r>
            </m:e>
            <m:sub>
              <m:r>
                <m:t>i</m:t>
              </m:r>
            </m:sub>
          </m:sSub>
          <m:r>
            <m:rPr>
              <m:sty m:val="p"/>
            </m:rPr>
            <m:t>(</m:t>
          </m:r>
          <m:r>
            <m:t>S</m:t>
          </m:r>
          <m:r>
            <m:rPr>
              <m:sty m:val="p"/>
            </m:rPr>
            <m:t>;</m:t>
          </m:r>
          <m:r>
            <m:t>g</m:t>
          </m:r>
          <m:r>
            <m:rPr>
              <m:sty m:val="p"/>
            </m:rPr>
            <m:t>,</m:t>
          </m:r>
          <m:r>
            <m:rPr>
              <m:sty m:val="p"/>
            </m:rPr>
            <m:t>Δ</m:t>
          </m:r>
          <m:r>
            <m:rPr>
              <m:sty m:val="p"/>
            </m:rPr>
            <m:t>,</m:t>
          </m:r>
          <m:r>
            <m:rPr>
              <m:scr m:val="script"/>
              <m:sty m:val="p"/>
            </m:rPr>
            <m:t>I</m:t>
          </m:r>
          <m:r>
            <m:rPr>
              <m:sty m:val="p"/>
            </m:rPr>
            <m:t>)</m:t>
          </m:r>
          <m:r>
            <m:rPr>
              <m:sty m:val="p"/>
            </m:rPr>
            <m:t>,</m:t>
          </m:r>
        </m:oMath>
      </m:oMathPara>
    </w:p>
    <w:p>
      <w:pPr>
        <w:pStyle w:val="FirstParagraph"/>
      </w:pPr>
      <w:r>
        <w:t xml:space="preserve">where</w:t>
      </w:r>
      <w:r>
        <w:t xml:space="preserve"> </w:t>
      </w:r>
      <m:oMath>
        <m:r>
          <m:t>g</m:t>
        </m:r>
      </m:oMath>
      <w:r>
        <w:t xml:space="preserve"> </w:t>
      </w:r>
      <w:r>
        <w:t xml:space="preserve">is the grain of description,</w:t>
      </w:r>
      <w:r>
        <w:t xml:space="preserve"> </w:t>
      </w:r>
      <m:oMath>
        <m:r>
          <m:rPr>
            <m:sty m:val="p"/>
          </m:rPr>
          <m:t>Δ</m:t>
        </m:r>
      </m:oMath>
      <w:r>
        <w:t xml:space="preserve"> </w:t>
      </w:r>
      <w:r>
        <w:t xml:space="preserve">is the evaluation horizon, and</w:t>
      </w:r>
      <w:r>
        <w:t xml:space="preserve"> </w:t>
      </w:r>
      <m:oMath>
        <m:r>
          <m:rPr>
            <m:scr m:val="script"/>
            <m:sty m:val="p"/>
          </m:rPr>
          <m:t>I</m:t>
        </m:r>
      </m:oMath>
      <w:r>
        <w:t xml:space="preserve"> </w:t>
      </w:r>
      <w:r>
        <w:t xml:space="preserve">is the family of observations or interventions used to estimate causal organization. Alter</w:t>
      </w:r>
      <w:r>
        <w:t xml:space="preserve"> </w:t>
      </w:r>
      <m:oMath>
        <m:r>
          <m:t>S</m:t>
        </m:r>
      </m:oMath>
      <w:r>
        <w:t xml:space="preserve">, and the value of</w:t>
      </w:r>
      <w:r>
        <w:t xml:space="preserve"> </w:t>
      </w:r>
      <m:oMath>
        <m:sSub>
          <m:e>
            <m:r>
              <m:t>M</m:t>
            </m:r>
          </m:e>
          <m:sub>
            <m:r>
              <m:t>i</m:t>
            </m:r>
          </m:sub>
        </m:sSub>
      </m:oMath>
      <w:r>
        <w:t xml:space="preserve"> </w:t>
      </w:r>
      <w:r>
        <w:t xml:space="preserve">may alter even when the underlying physical process does not.</w:t>
      </w:r>
    </w:p>
    <w:p>
      <w:pPr>
        <w:pStyle w:val="BodyText"/>
      </w:pPr>
      <w:r>
        <w:rPr>
          <w:b/>
          <w:bCs/>
        </w:rPr>
        <w:t xml:space="preserve">Plain-language reading.</w:t>
      </w:r>
      <w:r>
        <w:t xml:space="preserve"> </w:t>
      </w:r>
      <w:r>
        <w:t xml:space="preserve">There is no boundary-free integration score, broadcast score, or recurrence score. Every such result answers a question about a selected set of parts, represented in a selected way, over a selected interval.</w:t>
      </w:r>
    </w:p>
    <w:p>
      <w:pPr>
        <w:pStyle w:val="BodyText"/>
      </w:pPr>
      <w:r>
        <w:rPr>
          <w:b/>
          <w:bCs/>
        </w:rPr>
        <w:t xml:space="preserve">Why this matters.</w:t>
      </w:r>
      <w:r>
        <w:t xml:space="preserve"> </w:t>
      </w:r>
      <w:r>
        <w:t xml:space="preserve">If a system boundary is expanded until global availability appears, contracted until integration rises, or redrawn until recurrent loops close, the resulting consciousness classification partly reflects the analyst’s choice. A method that selects the boundary after inspecting the desired measure can manufacture apparent support for almost any sufficiently flexible theory.</w:t>
      </w:r>
    </w:p>
    <w:p>
      <w:pPr>
        <w:pStyle w:val="BodyText"/>
      </w:pPr>
      <w:r>
        <w:t xml:space="preserve">The problem is general. Integrated information approaches explicitly require a candidate set and an exclusion rule. Global-workspace approaches require a distinction between the workspace and the processors to which information is made available. Recurrent-processing approaches require a decision about which loops belong to the relevant system. Embodied and enactive approaches dispute whether the boundary stops at the skull. Artificial systems make the problem especially visible because the model, context window, external memory, orchestration layer, tools, users, and hardware can be partitioned in many ways. Multiscale neuroscience makes the same point within biology: nodes may be cells, populations, regions, networks, or whole-organism variables, and causal organization need not peak at the finest scale (Marshall et al., 2018; Storm et al., 2024).</w:t>
      </w:r>
    </w:p>
    <w:p>
      <w:pPr>
        <w:pStyle w:val="BodyText"/>
      </w:pPr>
      <w:r>
        <w:t xml:space="preserve">This paper proposes a boundary-first method. Its core thesis is:</w:t>
      </w:r>
    </w:p>
    <w:p>
      <w:pPr>
        <w:pStyle w:val="BlockText"/>
      </w:pPr>
      <w:r>
        <w:rPr>
          <w:b/>
          <w:bCs/>
        </w:rPr>
        <w:t xml:space="preserve">Dynamical Subject Criterion:</w:t>
      </w:r>
      <w:r>
        <w:t xml:space="preserve"> </w:t>
      </w:r>
      <w:r>
        <w:t xml:space="preserve">At a preregistered grain and time horizon, the boundary of a candidate conscious system is the inclusion-minimal causally admissible network that is sufficiently autonomous and jointly realizes the theory’s required roles of integration, availability, recurrence, and viability.</w:t>
      </w:r>
    </w:p>
    <w:p>
      <w:pPr>
        <w:pStyle w:val="FirstParagraph"/>
      </w:pPr>
      <w:r>
        <w:t xml:space="preserve">The criterion is deliberately conditional. It does not claim that dynamical autonomy is consciousness. It identifies the candidate system to which a network-dynamical consciousness theory may be applied. The target remains phenomenal consciousness; the boundary criterion addresses what could be its bearer.</w:t>
      </w:r>
    </w:p>
    <w:bookmarkStart w:id="10" w:name="the-contribution"/>
    <w:p>
      <w:pPr>
        <w:pStyle w:val="Heading3"/>
      </w:pPr>
      <w:r>
        <w:t xml:space="preserve">1.1 The contribution</w:t>
      </w:r>
    </w:p>
    <w:p>
      <w:pPr>
        <w:pStyle w:val="FirstParagraph"/>
      </w:pPr>
      <w:r>
        <w:t xml:space="preserve">The proposal makes six commitments.</w:t>
      </w:r>
    </w:p>
    <w:p>
      <w:pPr>
        <w:pStyle w:val="Compact"/>
        <w:numPr>
          <w:ilvl w:val="0"/>
          <w:numId w:val="1001"/>
        </w:numPr>
      </w:pPr>
      <w:r>
        <w:rPr>
          <w:b/>
          <w:bCs/>
        </w:rPr>
        <w:t xml:space="preserve">Boundary selection precedes consciousness measurement.</w:t>
      </w:r>
      <w:r>
        <w:t xml:space="preserve"> </w:t>
      </w:r>
      <w:r>
        <w:t xml:space="preserve">Candidate systems must be generated from causal-dynamical data that are not selected to maximize a consciousness score.</w:t>
      </w:r>
    </w:p>
    <w:p>
      <w:pPr>
        <w:pStyle w:val="Compact"/>
        <w:numPr>
          <w:ilvl w:val="0"/>
          <w:numId w:val="1001"/>
        </w:numPr>
      </w:pPr>
      <w:r>
        <w:rPr>
          <w:b/>
          <w:bCs/>
        </w:rPr>
        <w:t xml:space="preserve">Closure is graded in open systems.</w:t>
      </w:r>
      <w:r>
        <w:t xml:space="preserve"> </w:t>
      </w:r>
      <w:r>
        <w:t xml:space="preserve">Strict independence from an environment is a useful limiting ideal, not a plausible requirement for organisms or deployed artificial systems.</w:t>
      </w:r>
    </w:p>
    <w:p>
      <w:pPr>
        <w:pStyle w:val="Compact"/>
        <w:numPr>
          <w:ilvl w:val="0"/>
          <w:numId w:val="1001"/>
        </w:numPr>
      </w:pPr>
      <w:r>
        <w:rPr>
          <w:b/>
          <w:bCs/>
        </w:rPr>
        <w:t xml:space="preserve">Minimality is set-theoretic, not merely numerical.</w:t>
      </w:r>
      <w:r>
        <w:t xml:space="preserve"> </w:t>
      </w:r>
      <w:r>
        <w:t xml:space="preserve">The relevant candidate is inclusion-minimal: no proper admissible subsystem realizes the complete role bundle at the same grain and horizon.</w:t>
      </w:r>
    </w:p>
    <w:p>
      <w:pPr>
        <w:pStyle w:val="Compact"/>
        <w:numPr>
          <w:ilvl w:val="0"/>
          <w:numId w:val="1001"/>
        </w:numPr>
      </w:pPr>
      <w:r>
        <w:rPr>
          <w:b/>
          <w:bCs/>
        </w:rPr>
        <w:t xml:space="preserve">Constitution is separated from support.</w:t>
      </w:r>
      <w:r>
        <w:t xml:space="preserve"> </w:t>
      </w:r>
      <w:r>
        <w:t xml:space="preserve">A component belongs to the candidate because it participates in maintaining the relevant organization, not merely because the system eventually fails without it.</w:t>
      </w:r>
    </w:p>
    <w:p>
      <w:pPr>
        <w:pStyle w:val="Compact"/>
        <w:numPr>
          <w:ilvl w:val="0"/>
          <w:numId w:val="1001"/>
        </w:numPr>
      </w:pPr>
      <w:r>
        <w:rPr>
          <w:b/>
          <w:bCs/>
        </w:rPr>
        <w:t xml:space="preserve">Multiplicity and indeterminacy are legitimate outputs.</w:t>
      </w:r>
      <w:r>
        <w:t xml:space="preserve"> </w:t>
      </w:r>
      <w:r>
        <w:t xml:space="preserve">The method may identify multiple disjoint candidates, a hierarchy across scales, no qualifying candidate, or an unstable boundary.</w:t>
      </w:r>
    </w:p>
    <w:p>
      <w:pPr>
        <w:pStyle w:val="Compact"/>
        <w:numPr>
          <w:ilvl w:val="0"/>
          <w:numId w:val="1001"/>
        </w:numPr>
      </w:pPr>
      <w:r>
        <w:rPr>
          <w:b/>
          <w:bCs/>
        </w:rPr>
        <w:t xml:space="preserve">Boundary choices are preregistered and stress-tested.</w:t>
      </w:r>
      <w:r>
        <w:t xml:space="preserve"> </w:t>
      </w:r>
      <w:r>
        <w:t xml:space="preserve">Investigators must report how classifications change across reasonable partitions instead of presenting one convenient graph as inevitable.</w:t>
      </w:r>
    </w:p>
    <w:bookmarkEnd w:id="10"/>
    <w:bookmarkStart w:id="11" w:name="relation-to-the-n-model"/>
    <w:p>
      <w:pPr>
        <w:pStyle w:val="Heading3"/>
      </w:pPr>
      <w:r>
        <w:t xml:space="preserve">1.2 Relation to the</w:t>
      </w:r>
      <w:r>
        <w:t xml:space="preserve"> </w:t>
      </w:r>
      <m:oMath>
        <m:sSup>
          <m:e>
            <m:r>
              <m:t>N</m:t>
            </m:r>
          </m:e>
          <m:sup>
            <m:r>
              <m:rPr>
                <m:sty m:val="p"/>
              </m:rPr>
              <m:t>*</m:t>
            </m:r>
          </m:sup>
        </m:sSup>
      </m:oMath>
      <w:r>
        <w:t xml:space="preserve"> </w:t>
      </w:r>
      <w:r>
        <w:t xml:space="preserve">model</w:t>
      </w:r>
    </w:p>
    <w:p>
      <w:pPr>
        <w:pStyle w:val="FirstParagraph"/>
      </w:pPr>
      <w:r>
        <w:t xml:space="preserve">The</w:t>
      </w:r>
      <w:r>
        <w:t xml:space="preserve"> </w:t>
      </w:r>
      <m:oMath>
        <m:sSup>
          <m:e>
            <m:r>
              <m:t>N</m:t>
            </m:r>
          </m:e>
          <m:sup>
            <m:r>
              <m:rPr>
                <m:sty m:val="p"/>
              </m:rPr>
              <m:t>*</m:t>
            </m:r>
          </m:sup>
        </m:sSup>
      </m:oMath>
      <w:r>
        <w:t xml:space="preserve"> </w:t>
      </w:r>
      <w:r>
        <w:t xml:space="preserve">model proposes that minimal phenomenal presence,</w:t>
      </w:r>
      <w:r>
        <w:t xml:space="preserve"> </w:t>
      </w:r>
      <m:oMath>
        <m:sSub>
          <m:e>
            <m:r>
              <m:t>C</m:t>
            </m:r>
          </m:e>
          <m:sub>
            <m:r>
              <m:t>0</m:t>
            </m:r>
          </m:sub>
        </m:sSub>
      </m:oMath>
      <w:r>
        <w:t xml:space="preserve">, obtains when an independently viable system realizes integration or synergy (</w:t>
      </w:r>
      <m:oMath>
        <m:sSub>
          <m:e>
            <m:r>
              <m:t>N</m:t>
            </m:r>
          </m:e>
          <m:sub>
            <m:r>
              <m:t>1</m:t>
            </m:r>
          </m:sub>
        </m:sSub>
      </m:oMath>
      <w:r>
        <w:t xml:space="preserve">), broadcast availability (</w:t>
      </w:r>
      <m:oMath>
        <m:sSub>
          <m:e>
            <m:r>
              <m:t>N</m:t>
            </m:r>
          </m:e>
          <m:sub>
            <m:r>
              <m:t>2</m:t>
            </m:r>
          </m:sub>
        </m:sSub>
      </m:oMath>
      <w:r>
        <w:t xml:space="preserve">), and recurrent stability (</w:t>
      </w:r>
      <m:oMath>
        <m:sSub>
          <m:e>
            <m:r>
              <m:t>N</m:t>
            </m:r>
          </m:e>
          <m:sub>
            <m:r>
              <m:t>3</m:t>
            </m:r>
          </m:sub>
        </m:sSub>
      </m:oMath>
      <w:r>
        <w:t xml:space="preserve">):</w:t>
      </w:r>
    </w:p>
    <w:p>
      <w:pPr>
        <w:pStyle w:val="BodyText"/>
      </w:pPr>
      <m:oMathPara>
        <m:oMathParaPr>
          <m:jc m:val="center"/>
        </m:oMathParaPr>
        <m:oMath>
          <m:r>
            <m:t>V</m:t>
          </m:r>
          <m:r>
            <m:rPr>
              <m:sty m:val="p"/>
            </m:rPr>
            <m:t>∧</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C</m:t>
              </m:r>
            </m:e>
            <m:sub>
              <m:r>
                <m:t>0</m:t>
              </m:r>
            </m:sub>
          </m:sSub>
          <m:r>
            <m:rPr>
              <m:sty m:val="p"/>
            </m:rPr>
            <m:t>.</m:t>
          </m:r>
        </m:oMath>
      </m:oMathPara>
    </w:p>
    <w:p>
      <w:pPr>
        <w:pStyle w:val="FirstParagraph"/>
      </w:pPr>
      <w:r>
        <w:t xml:space="preserve">That hypothesis is incomplete unless</w:t>
      </w:r>
      <w:r>
        <w:t xml:space="preserve"> </w:t>
      </w:r>
      <w:r>
        <w:t xml:space="preserve">“the system”</w:t>
      </w:r>
      <w:r>
        <w:t xml:space="preserve"> </w:t>
      </w:r>
      <w:r>
        <w:t xml:space="preserve">can be identified without first assuming where consciousness is. The present paper fills that lacuna. It does not add dynamical autonomy as a fourth phenomenal conjunct. Instead, autonomy constrains the domain over which</w:t>
      </w:r>
      <w:r>
        <w:t xml:space="preserve"> </w:t>
      </w:r>
      <m:oMath>
        <m:r>
          <m:t>V</m:t>
        </m:r>
      </m:oMath>
      <w:r>
        <w:t xml:space="preserve">,</w:t>
      </w:r>
      <w:r>
        <w:t xml:space="preserve"> </w:t>
      </w:r>
      <m:oMath>
        <m:sSub>
          <m:e>
            <m:r>
              <m:t>N</m:t>
            </m:r>
          </m:e>
          <m:sub>
            <m:r>
              <m:t>1</m:t>
            </m:r>
          </m:sub>
        </m:sSub>
      </m:oMath>
      <w:r>
        <w:t xml:space="preserve">,</w:t>
      </w:r>
      <w:r>
        <w:t xml:space="preserve"> </w:t>
      </w:r>
      <m:oMath>
        <m:sSub>
          <m:e>
            <m:r>
              <m:t>N</m:t>
            </m:r>
          </m:e>
          <m:sub>
            <m:r>
              <m:t>2</m:t>
            </m:r>
          </m:sub>
        </m:sSub>
      </m:oMath>
      <w:r>
        <w:t xml:space="preserve">, and</w:t>
      </w:r>
      <w:r>
        <w:t xml:space="preserve"> </w:t>
      </w:r>
      <m:oMath>
        <m:sSub>
          <m:e>
            <m:r>
              <m:t>N</m:t>
            </m:r>
          </m:e>
          <m:sub>
            <m:r>
              <m:t>3</m:t>
            </m:r>
          </m:sub>
        </m:sSub>
      </m:oMath>
      <w:r>
        <w:t xml:space="preserve"> </w:t>
      </w:r>
      <w:r>
        <w:t xml:space="preserve">may be evaluated. In shorthand:</w:t>
      </w:r>
    </w:p>
    <w:p>
      <w:pPr>
        <w:pStyle w:val="BodyText"/>
      </w:pPr>
      <m:oMathPara>
        <m:oMathParaPr>
          <m:jc m:val="center"/>
        </m:oMathParaPr>
        <m:oMath>
          <m:r>
            <m:rPr>
              <m:nor/>
              <m:sty m:val="p"/>
            </m:rPr>
            <m:t>individuate </m:t>
          </m:r>
          <m:r>
            <m:t>S</m:t>
          </m:r>
          <m:r>
            <m:t> </m:t>
          </m:r>
          <m:r>
            <m:rPr>
              <m:nor/>
              <m:sty m:val="p"/>
            </m:rPr>
            <m:t>before</m:t>
          </m:r>
          <m:r>
            <m:t> </m:t>
          </m:r>
          <m:r>
            <m:rPr>
              <m:nor/>
              <m:sty m:val="p"/>
            </m:rPr>
            <m:t>testing </m:t>
          </m:r>
          <m:sSup>
            <m:e>
              <m:r>
                <m:t>N</m:t>
              </m:r>
            </m:e>
            <m:sup>
              <m:r>
                <m:rPr>
                  <m:sty m:val="p"/>
                </m:rPr>
                <m:t>*</m:t>
              </m:r>
            </m:sup>
          </m:sSup>
          <m:r>
            <m:rPr>
              <m:sty m:val="p"/>
            </m:rPr>
            <m:t>(</m:t>
          </m:r>
          <m:r>
            <m:t>S</m:t>
          </m:r>
          <m:r>
            <m:rPr>
              <m:sty m:val="p"/>
            </m:rPr>
            <m:t>)</m:t>
          </m:r>
          <m:r>
            <m:rPr>
              <m:sty m:val="p"/>
            </m:rPr>
            <m:t>.</m:t>
          </m:r>
        </m:oMath>
      </m:oMathPara>
    </w:p>
    <w:p>
      <w:pPr>
        <w:pStyle w:val="FirstParagraph"/>
      </w:pPr>
      <w:r>
        <w:t xml:space="preserve">This ordering also extends beyond</w:t>
      </w:r>
      <w:r>
        <w:t xml:space="preserve"> </w:t>
      </w:r>
      <m:oMath>
        <m:sSup>
          <m:e>
            <m:r>
              <m:t>N</m:t>
            </m:r>
          </m:e>
          <m:sup>
            <m:r>
              <m:rPr>
                <m:sty m:val="p"/>
              </m:rPr>
              <m:t>*</m:t>
            </m:r>
          </m:sup>
        </m:sSup>
      </m:oMath>
      <w:r>
        <w:t xml:space="preserve">. Any theory whose evidence depends on integration, broadcasting, recurrence, complexity, causal power, self-modeling, or organismic regulation needs a principled answer to the boundary question.</w:t>
      </w:r>
    </w:p>
    <w:bookmarkEnd w:id="11"/>
    <w:bookmarkEnd w:id="12"/>
    <w:bookmarkStart w:id="17" w:name="the-boundary-problem"/>
    <w:p>
      <w:pPr>
        <w:pStyle w:val="Heading2"/>
      </w:pPr>
      <w:r>
        <w:t xml:space="preserve">2. The Boundary Problem</w:t>
      </w:r>
    </w:p>
    <w:bookmarkStart w:id="13" w:name="a-node-list-is-already-a-hypothesis"/>
    <w:p>
      <w:pPr>
        <w:pStyle w:val="Heading3"/>
      </w:pPr>
      <w:r>
        <w:t xml:space="preserve">2.1 A node list is already a hypothesis</w:t>
      </w:r>
    </w:p>
    <w:p>
      <w:pPr>
        <w:pStyle w:val="FirstParagraph"/>
      </w:pPr>
      <w:r>
        <w:t xml:space="preserve">A causal graph</w:t>
      </w:r>
      <w:r>
        <w:t xml:space="preserve"> </w:t>
      </w:r>
      <m:oMath>
        <m:r>
          <m:t>G</m:t>
        </m:r>
        <m:r>
          <m:rPr>
            <m:sty m:val="p"/>
          </m:rPr>
          <m:t>=</m:t>
        </m:r>
        <m:r>
          <m:rPr>
            <m:sty m:val="p"/>
          </m:rPr>
          <m:t>(</m:t>
        </m:r>
        <m:r>
          <m:rPr>
            <m:sty m:val="p"/>
          </m:rPr>
          <m:t>Ω</m:t>
        </m:r>
        <m:r>
          <m:rPr>
            <m:sty m:val="p"/>
          </m:rPr>
          <m:t>,</m:t>
        </m:r>
        <m:r>
          <m:t>E</m:t>
        </m:r>
        <m:r>
          <m:rPr>
            <m:sty m:val="p"/>
          </m:rPr>
          <m:t>)</m:t>
        </m:r>
      </m:oMath>
      <w:r>
        <w:t xml:space="preserve"> </w:t>
      </w:r>
      <w:r>
        <w:t xml:space="preserve">begins with a universe of modeled variables</w:t>
      </w:r>
      <w:r>
        <w:t xml:space="preserve"> </w:t>
      </w:r>
      <m:oMath>
        <m:r>
          <m:rPr>
            <m:sty m:val="p"/>
          </m:rPr>
          <m:t>Ω</m:t>
        </m:r>
      </m:oMath>
      <w:r>
        <w:t xml:space="preserve">. Even this universe is not neutral. A recording array samples some neural populations and not others. A connectome represents regions at a selected parcellation. An AI diagram includes software services while omitting power supplies, users, and hardware. A dyadic experiment may record both participants but not the shared artifact through which they coordinate.</w:t>
      </w:r>
    </w:p>
    <w:p>
      <w:pPr>
        <w:pStyle w:val="BodyText"/>
      </w:pPr>
      <w:r>
        <w:t xml:space="preserve">The scientific problem is therefore not to discover a metaphysical line from nowhere. It is to compare explicit candidate partitions within a declared observational universe and to state what omitted variables could change the result. A boundary method can be objective without pretending to be description-free.</w:t>
      </w:r>
    </w:p>
    <w:p>
      <w:pPr>
        <w:pStyle w:val="BodyText"/>
      </w:pPr>
      <w:r>
        <w:t xml:space="preserve">Let</w:t>
      </w:r>
      <w:r>
        <w:t xml:space="preserve"> </w:t>
      </w:r>
      <m:oMath>
        <m:r>
          <m:t>S</m:t>
        </m:r>
        <m:r>
          <m:rPr>
            <m:sty m:val="p"/>
          </m:rPr>
          <m:t>⊆</m:t>
        </m:r>
        <m:r>
          <m:rPr>
            <m:sty m:val="p"/>
          </m:rPr>
          <m:t>Ω</m:t>
        </m:r>
      </m:oMath>
      <w:r>
        <w:t xml:space="preserve"> </w:t>
      </w:r>
      <w:r>
        <w:t xml:space="preserve">be a candidate system and</w:t>
      </w:r>
      <w:r>
        <w:t xml:space="preserve"> </w:t>
      </w:r>
      <m:oMath>
        <m:acc>
          <m:accPr>
            <m:chr m:val="‾"/>
          </m:accPr>
          <m:e>
            <m:r>
              <m:t>S</m:t>
            </m:r>
          </m:e>
        </m:acc>
        <m:r>
          <m:rPr>
            <m:sty m:val="p"/>
          </m:rPr>
          <m:t>=</m:t>
        </m:r>
        <m:r>
          <m:rPr>
            <m:sty m:val="p"/>
          </m:rPr>
          <m:t>Ω</m:t>
        </m:r>
        <m:r>
          <m:rPr>
            <m:sty m:val="p"/>
          </m:rPr>
          <m:t>\</m:t>
        </m:r>
        <m:r>
          <m:t>S</m:t>
        </m:r>
      </m:oMath>
      <w:r>
        <w:t xml:space="preserve"> </w:t>
      </w:r>
      <w:r>
        <w:t xml:space="preserve">its modeled environment. The state of the candidate at time</w:t>
      </w:r>
      <w:r>
        <w:t xml:space="preserve"> </w:t>
      </w:r>
      <m:oMath>
        <m:r>
          <m:t>t</m:t>
        </m:r>
      </m:oMath>
      <w:r>
        <w:t xml:space="preserve"> </w:t>
      </w:r>
      <w:r>
        <w:t xml:space="preserve">is</w:t>
      </w:r>
      <w:r>
        <w:t xml:space="preserve"> </w:t>
      </w:r>
      <m:oMath>
        <m:sSubSup>
          <m:e>
            <m:r>
              <m:t>X</m:t>
            </m:r>
          </m:e>
          <m:sub>
            <m:r>
              <m:t>t</m:t>
            </m:r>
          </m:sub>
          <m:sup>
            <m:r>
              <m:t>S</m:t>
            </m:r>
          </m:sup>
        </m:sSubSup>
      </m:oMath>
      <w:r>
        <w:t xml:space="preserve">; the state of the modeled environment is</w:t>
      </w:r>
      <w:r>
        <w:t xml:space="preserve"> </w:t>
      </w:r>
      <m:oMath>
        <m:sSubSup>
          <m:e>
            <m:r>
              <m:t>X</m:t>
            </m:r>
          </m:e>
          <m:sub>
            <m:r>
              <m:t>t</m:t>
            </m:r>
          </m:sub>
          <m:sup>
            <m:acc>
              <m:accPr>
                <m:chr m:val="‾"/>
              </m:accPr>
              <m:e>
                <m:r>
                  <m:t>S</m:t>
                </m:r>
              </m:e>
            </m:acc>
          </m:sup>
        </m:sSubSup>
      </m:oMath>
      <w:r>
        <w:t xml:space="preserve">. The same physical process may be represented by many choices of</w:t>
      </w:r>
      <w:r>
        <w:t xml:space="preserve"> </w:t>
      </w:r>
      <m:oMath>
        <m:r>
          <m:t>S</m:t>
        </m:r>
      </m:oMath>
      <w:r>
        <w:t xml:space="preserve">.</w:t>
      </w:r>
    </w:p>
    <w:bookmarkEnd w:id="13"/>
    <w:bookmarkStart w:id="14" w:name="Xe99fe5db798978c98244bf26e0faafef90fcd76"/>
    <w:p>
      <w:pPr>
        <w:pStyle w:val="Heading3"/>
      </w:pPr>
      <w:r>
        <w:t xml:space="preserve">2.2 Boundary relativity of consciousness measures</w:t>
      </w:r>
    </w:p>
    <w:p>
      <w:pPr>
        <w:pStyle w:val="FirstParagraph"/>
      </w:pPr>
      <w:r>
        <w:t xml:space="preserve">Suppose two densely recurrent modules are weakly coupled. Measured separately, each may have high internal integration and recurrent stability but limited availability. Measured together, cross-module availability may rise while normalized integration falls. Adding a controller can create apparent global broadcast. Adding a large passive memory can dilute network averages. Aggregating microvariables can increase some measures of causal effectiveness, while disaggregation can reveal distinct local complexes (Hoel et al., 2013; Marshall et al., 2018).</w:t>
      </w:r>
    </w:p>
    <w:p>
      <w:pPr>
        <w:pStyle w:val="BodyText"/>
      </w:pPr>
      <w:r>
        <w:t xml:space="preserve">The dependence can be written as</w:t>
      </w:r>
    </w:p>
    <w:p>
      <w:pPr>
        <w:pStyle w:val="BodyText"/>
      </w:pPr>
      <m:oMathPara>
        <m:oMathParaPr>
          <m:jc m:val="center"/>
        </m:oMathParaPr>
        <m:oMath>
          <m:sSup>
            <m:e>
              <m:r>
                <m:t>N</m:t>
              </m:r>
            </m:e>
            <m:sup>
              <m:r>
                <m:rPr>
                  <m:sty m:val="p"/>
                </m:rPr>
                <m:t>*</m:t>
              </m:r>
            </m:sup>
          </m:sSup>
          <m:r>
            <m:rPr>
              <m:sty m:val="p"/>
            </m:rPr>
            <m:t>(</m:t>
          </m:r>
          <m:r>
            <m:t>S</m:t>
          </m:r>
          <m:r>
            <m:rPr>
              <m:sty m:val="p"/>
            </m:rPr>
            <m:t>)</m:t>
          </m:r>
          <m:r>
            <m:rPr>
              <m:sty m:val="p"/>
            </m:rPr>
            <m:t>=</m:t>
          </m:r>
          <m:sSub>
            <m:e>
              <m:r>
                <m:t>N</m:t>
              </m:r>
            </m:e>
            <m:sub>
              <m:r>
                <m:t>1</m:t>
              </m:r>
            </m:sub>
          </m:sSub>
          <m:r>
            <m:rPr>
              <m:sty m:val="p"/>
            </m:rPr>
            <m:t>(</m:t>
          </m:r>
          <m:r>
            <m:t>S</m:t>
          </m:r>
          <m:r>
            <m:rPr>
              <m:sty m:val="p"/>
            </m:rPr>
            <m:t>)</m:t>
          </m:r>
          <m:r>
            <m:rPr>
              <m:sty m:val="p"/>
            </m:rPr>
            <m:t>∧</m:t>
          </m:r>
          <m:sSub>
            <m:e>
              <m:r>
                <m:t>N</m:t>
              </m:r>
            </m:e>
            <m:sub>
              <m:r>
                <m:t>2</m:t>
              </m:r>
            </m:sub>
          </m:sSub>
          <m:r>
            <m:rPr>
              <m:sty m:val="p"/>
            </m:rPr>
            <m:t>(</m:t>
          </m:r>
          <m:r>
            <m:t>S</m:t>
          </m:r>
          <m:r>
            <m:rPr>
              <m:sty m:val="p"/>
            </m:rPr>
            <m:t>)</m:t>
          </m:r>
          <m:r>
            <m:rPr>
              <m:sty m:val="p"/>
            </m:rPr>
            <m:t>∧</m:t>
          </m:r>
          <m:sSub>
            <m:e>
              <m:r>
                <m:t>N</m:t>
              </m:r>
            </m:e>
            <m:sub>
              <m:r>
                <m:t>3</m:t>
              </m:r>
            </m:sub>
          </m:sSub>
          <m:r>
            <m:rPr>
              <m:sty m:val="p"/>
            </m:rPr>
            <m:t>(</m:t>
          </m:r>
          <m:r>
            <m:t>S</m:t>
          </m:r>
          <m:r>
            <m:rPr>
              <m:sty m:val="p"/>
            </m:rPr>
            <m:t>)</m:t>
          </m:r>
          <m:r>
            <m:rPr>
              <m:sty m:val="p"/>
            </m:rPr>
            <m:t>,</m:t>
          </m:r>
        </m:oMath>
      </m:oMathPara>
    </w:p>
    <w:p>
      <w:pPr>
        <w:pStyle w:val="FirstParagraph"/>
      </w:pPr>
      <w:r>
        <w:t xml:space="preserve">not simply</w:t>
      </w:r>
      <w:r>
        <w:t xml:space="preserve"> </w:t>
      </w:r>
      <m:oMath>
        <m:sSup>
          <m:e>
            <m:r>
              <m:t>N</m:t>
            </m:r>
          </m:e>
          <m:sup>
            <m:r>
              <m:rPr>
                <m:sty m:val="p"/>
              </m:rPr>
              <m:t>*</m:t>
            </m:r>
          </m:sup>
        </m:sSup>
      </m:oMath>
      <w:r>
        <w:t xml:space="preserve">. The omitted argument is scientifically consequential.</w:t>
      </w:r>
    </w:p>
    <w:p>
      <w:pPr>
        <w:pStyle w:val="BodyText"/>
      </w:pPr>
      <w:r>
        <w:rPr>
          <w:b/>
          <w:bCs/>
        </w:rPr>
        <w:t xml:space="preserve">Boundary-reversal condition.</w:t>
      </w:r>
      <w:r>
        <w:t xml:space="preserve"> </w:t>
      </w:r>
      <w:r>
        <w:t xml:space="preserve">For two admissible candidates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a boundary reversal occurs when</w:t>
      </w:r>
    </w:p>
    <w:p>
      <w:pPr>
        <w:pStyle w:val="BodyText"/>
      </w:pPr>
      <m:oMathPara>
        <m:oMathParaPr>
          <m:jc m:val="center"/>
        </m:oMathParaPr>
        <m:oMath>
          <m:sSup>
            <m:e>
              <m:r>
                <m:t>N</m:t>
              </m:r>
            </m:e>
            <m:sup>
              <m:r>
                <m:rPr>
                  <m:sty m:val="p"/>
                </m:rPr>
                <m:t>*</m:t>
              </m:r>
            </m:sup>
          </m:sSup>
          <m:r>
            <m:rPr>
              <m:sty m:val="p"/>
            </m:rPr>
            <m:t>(</m:t>
          </m:r>
          <m:sSub>
            <m:e>
              <m:r>
                <m:t>S</m:t>
              </m:r>
            </m:e>
            <m:sub>
              <m:r>
                <m:t>1</m:t>
              </m:r>
            </m:sub>
          </m:sSub>
          <m:r>
            <m:rPr>
              <m:sty m:val="p"/>
            </m:rPr>
            <m:t>)</m:t>
          </m:r>
          <m:r>
            <m:rPr>
              <m:sty m:val="p"/>
            </m:rPr>
            <m:t>≠</m:t>
          </m:r>
          <m:sSup>
            <m:e>
              <m:r>
                <m:t>N</m:t>
              </m:r>
            </m:e>
            <m:sup>
              <m:r>
                <m:rPr>
                  <m:sty m:val="p"/>
                </m:rPr>
                <m:t>*</m:t>
              </m:r>
            </m:sup>
          </m:sSup>
          <m:r>
            <m:rPr>
              <m:sty m:val="p"/>
            </m:rPr>
            <m:t>(</m:t>
          </m:r>
          <m:sSub>
            <m:e>
              <m:r>
                <m:t>S</m:t>
              </m:r>
            </m:e>
            <m:sub>
              <m:r>
                <m:t>2</m:t>
              </m:r>
            </m:sub>
          </m:sSub>
          <m:r>
            <m:rPr>
              <m:sty m:val="p"/>
            </m:rPr>
            <m:t>)</m:t>
          </m:r>
        </m:oMath>
      </m:oMathPara>
    </w:p>
    <w:p>
      <w:pPr>
        <w:pStyle w:val="FirstParagraph"/>
      </w:pPr>
      <w:r>
        <w:t xml:space="preserve">under the same underlying data and otherwise fixed analysis policy.</w:t>
      </w:r>
    </w:p>
    <w:p>
      <w:pPr>
        <w:pStyle w:val="BodyText"/>
      </w:pPr>
      <w:r>
        <w:rPr>
          <w:b/>
          <w:bCs/>
        </w:rPr>
        <w:t xml:space="preserve">Plain-language reading.</w:t>
      </w:r>
      <w:r>
        <w:t xml:space="preserve"> </w:t>
      </w:r>
      <w:r>
        <w:t xml:space="preserve">The consciousness prediction changes because the analyst changed what counts as the system, not because the world changed.</w:t>
      </w:r>
    </w:p>
    <w:p>
      <w:pPr>
        <w:pStyle w:val="BodyText"/>
      </w:pPr>
      <w:r>
        <w:rPr>
          <w:b/>
          <w:bCs/>
        </w:rPr>
        <w:t xml:space="preserve">What the condition does not show.</w:t>
      </w:r>
      <w:r>
        <w:t xml:space="preserve"> </w:t>
      </w:r>
      <w:r>
        <w:t xml:space="preserve">A reversal does not prove that either boundary is wrong. It shows that the boundary is part of the evidential claim and must be justified independently.</w:t>
      </w:r>
    </w:p>
    <w:bookmarkEnd w:id="14"/>
    <w:bookmarkStart w:id="15" w:name="three-different-boundary-questions"/>
    <w:p>
      <w:pPr>
        <w:pStyle w:val="Heading3"/>
      </w:pPr>
      <w:r>
        <w:t xml:space="preserve">2.3 Three different boundary questions</w:t>
      </w:r>
    </w:p>
    <w:p>
      <w:pPr>
        <w:pStyle w:val="FirstParagraph"/>
      </w:pPr>
      <w:r>
        <w:t xml:space="preserve">At least three questions are often conflated.</w:t>
      </w:r>
    </w:p>
    <w:p>
      <w:pPr>
        <w:pStyle w:val="Compact"/>
        <w:numPr>
          <w:ilvl w:val="0"/>
          <w:numId w:val="1002"/>
        </w:numPr>
      </w:pPr>
      <w:r>
        <w:rPr>
          <w:b/>
          <w:bCs/>
        </w:rPr>
        <w:t xml:space="preserve">Physical boundary:</w:t>
      </w:r>
      <w:r>
        <w:t xml:space="preserve"> </w:t>
      </w:r>
      <w:r>
        <w:t xml:space="preserve">Which material structures are spatially contiguous or enclosed?</w:t>
      </w:r>
    </w:p>
    <w:p>
      <w:pPr>
        <w:pStyle w:val="Compact"/>
        <w:numPr>
          <w:ilvl w:val="0"/>
          <w:numId w:val="1002"/>
        </w:numPr>
      </w:pPr>
      <w:r>
        <w:rPr>
          <w:b/>
          <w:bCs/>
        </w:rPr>
        <w:t xml:space="preserve">Causal boundary:</w:t>
      </w:r>
      <w:r>
        <w:t xml:space="preserve"> </w:t>
      </w:r>
      <w:r>
        <w:t xml:space="preserve">Which variables form a relatively autonomous dynamical unit under interventions?</w:t>
      </w:r>
    </w:p>
    <w:p>
      <w:pPr>
        <w:pStyle w:val="Compact"/>
        <w:numPr>
          <w:ilvl w:val="0"/>
          <w:numId w:val="1002"/>
        </w:numPr>
      </w:pPr>
      <w:r>
        <w:rPr>
          <w:b/>
          <w:bCs/>
        </w:rPr>
        <w:t xml:space="preserve">Subject boundary:</w:t>
      </w:r>
      <w:r>
        <w:t xml:space="preserve"> </w:t>
      </w:r>
      <w:r>
        <w:t xml:space="preserve">Which unit, if any, is the bearer of one stream or field of consciousness?</w:t>
      </w:r>
    </w:p>
    <w:p>
      <w:pPr>
        <w:pStyle w:val="FirstParagraph"/>
      </w:pPr>
      <w:r>
        <w:t xml:space="preserve">The first does not settle the second: spatially separated components can be tightly coupled, while adjacent components can be causally segregated. The second does not entail the third: hurricanes, cells, and control systems may display forms of autonomy without being conscious. The present proposal uses causal boundaries to generate candidates for the subject boundary, then permits a consciousness theory to classify them.</w:t>
      </w:r>
    </w:p>
    <w:bookmarkEnd w:id="15"/>
    <w:bookmarkStart w:id="16" w:name="why-retrospective-selection-is-circular"/>
    <w:p>
      <w:pPr>
        <w:pStyle w:val="Heading3"/>
      </w:pPr>
      <w:r>
        <w:t xml:space="preserve">2.4 Why retrospective selection is circular</w:t>
      </w:r>
    </w:p>
    <w:p>
      <w:pPr>
        <w:pStyle w:val="FirstParagraph"/>
      </w:pPr>
      <w:r>
        <w:t xml:space="preserve">The invalid procedure is</w:t>
      </w:r>
    </w:p>
    <w:p>
      <w:pPr>
        <w:pStyle w:val="BodyText"/>
      </w:pPr>
      <m:oMathPara>
        <m:oMathParaPr>
          <m:jc m:val="center"/>
        </m:oMathParaPr>
        <m:oMath>
          <m:sSup>
            <m:e>
              <m:r>
                <m:t>S</m:t>
              </m:r>
            </m:e>
            <m:sup>
              <m:r>
                <m:rPr>
                  <m:sty m:val="p"/>
                </m:rPr>
                <m:t>p</m:t>
              </m:r>
              <m:r>
                <m:rPr>
                  <m:sty m:val="p"/>
                </m:rPr>
                <m:t>o</m:t>
              </m:r>
              <m:r>
                <m:rPr>
                  <m:sty m:val="p"/>
                </m:rPr>
                <m:t>s</m:t>
              </m:r>
              <m:r>
                <m:rPr>
                  <m:sty m:val="p"/>
                </m:rPr>
                <m:t>t</m:t>
              </m:r>
            </m:sup>
          </m:sSup>
          <m:r>
            <m:rPr>
              <m:sty m:val="p"/>
            </m:rPr>
            <m:t>=</m:t>
          </m:r>
          <m:r>
            <m:rPr>
              <m:sty m:val="p"/>
            </m:rPr>
            <m:t>arg</m:t>
          </m:r>
          <m:limLow>
            <m:e>
              <m:r>
                <m:rPr>
                  <m:sty m:val="p"/>
                </m:rPr>
                <m:t>max</m:t>
              </m:r>
            </m:e>
            <m:lim>
              <m:r>
                <m:t>S</m:t>
              </m:r>
              <m:r>
                <m:rPr>
                  <m:sty m:val="p"/>
                </m:rPr>
                <m:t>⊆</m:t>
              </m:r>
              <m:r>
                <m:rPr>
                  <m:sty m:val="p"/>
                </m:rPr>
                <m:t>Ω</m:t>
              </m:r>
            </m:lim>
          </m:limLow>
          <m:sSub>
            <m:e>
              <m:r>
                <m:t>M</m:t>
              </m:r>
            </m:e>
            <m:sub>
              <m:r>
                <m:t>C</m:t>
              </m:r>
            </m:sub>
          </m:sSub>
          <m:r>
            <m:rPr>
              <m:sty m:val="p"/>
            </m:rPr>
            <m:t>(</m:t>
          </m:r>
          <m:r>
            <m:t>S</m:t>
          </m:r>
          <m:r>
            <m:rPr>
              <m:sty m:val="p"/>
            </m:rPr>
            <m:t>)</m:t>
          </m:r>
          <m:r>
            <m:rPr>
              <m:sty m:val="p"/>
            </m:rPr>
            <m:t>,</m:t>
          </m:r>
        </m:oMath>
      </m:oMathPara>
    </w:p>
    <w:p>
      <w:pPr>
        <w:pStyle w:val="FirstParagraph"/>
      </w:pPr>
      <w:r>
        <w:t xml:space="preserve">where</w:t>
      </w:r>
      <w:r>
        <w:t xml:space="preserve"> </w:t>
      </w:r>
      <m:oMath>
        <m:sSub>
          <m:e>
            <m:r>
              <m:t>M</m:t>
            </m:r>
          </m:e>
          <m:sub>
            <m:r>
              <m:t>C</m:t>
            </m:r>
          </m:sub>
        </m:sSub>
      </m:oMath>
      <w:r>
        <w:t xml:space="preserve"> </w:t>
      </w:r>
      <w:r>
        <w:t xml:space="preserve">is the measure offered as evidence for consciousness.</w:t>
      </w:r>
    </w:p>
    <w:p>
      <w:pPr>
        <w:pStyle w:val="BodyText"/>
      </w:pPr>
      <w:r>
        <w:rPr>
          <w:b/>
          <w:bCs/>
        </w:rPr>
        <w:t xml:space="preserve">Plain-language reading.</w:t>
      </w:r>
      <w:r>
        <w:t xml:space="preserve"> </w:t>
      </w:r>
      <w:r>
        <w:t xml:space="preserve">Search over boundaries and call the boundary with the best consciousness score the conscious system.</w:t>
      </w:r>
    </w:p>
    <w:p>
      <w:pPr>
        <w:pStyle w:val="BodyText"/>
      </w:pPr>
      <w:r>
        <w:rPr>
          <w:b/>
          <w:bCs/>
        </w:rPr>
        <w:t xml:space="preserve">Why this is circular.</w:t>
      </w:r>
      <w:r>
        <w:t xml:space="preserve"> </w:t>
      </w:r>
      <w:r>
        <w:t xml:space="preserve">The same quantity supplies both the evidence that a system is conscious and the rule determining which system exists for purposes of the test. A positive result becomes likely by construction. A local maximum or an exclusion postulate can be principled within a theory, but it remains theory-dependent and should not be mistaken for an independent individuation result.</w:t>
      </w:r>
    </w:p>
    <w:p>
      <w:pPr>
        <w:pStyle w:val="BodyText"/>
      </w:pPr>
      <w:r>
        <w:t xml:space="preserve">The boundary-first alternative is</w:t>
      </w:r>
    </w:p>
    <w:p>
      <w:pPr>
        <w:pStyle w:val="BodyText"/>
      </w:pPr>
      <m:oMathPara>
        <m:oMathParaPr>
          <m:jc m:val="center"/>
        </m:oMathParaPr>
        <m:oMath>
          <m:r>
            <m:rPr>
              <m:scr m:val="script"/>
              <m:sty m:val="p"/>
            </m:rPr>
            <m:t>P</m:t>
          </m:r>
          <m:r>
            <m:rPr>
              <m:sty m:val="p"/>
            </m:rPr>
            <m:t>=</m:t>
          </m:r>
          <m:r>
            <m:rPr>
              <m:scr m:val="sans-serif"/>
              <m:sty m:val="p"/>
            </m:rPr>
            <m:t>P</m:t>
          </m:r>
          <m:r>
            <m:rPr>
              <m:scr m:val="sans-serif"/>
              <m:sty m:val="p"/>
            </m:rPr>
            <m:t>a</m:t>
          </m:r>
          <m:r>
            <m:rPr>
              <m:scr m:val="sans-serif"/>
              <m:sty m:val="p"/>
            </m:rPr>
            <m:t>r</m:t>
          </m:r>
          <m:r>
            <m:rPr>
              <m:scr m:val="sans-serif"/>
              <m:sty m:val="p"/>
            </m:rPr>
            <m:t>t</m:t>
          </m:r>
          <m:r>
            <m:rPr>
              <m:scr m:val="sans-serif"/>
              <m:sty m:val="p"/>
            </m:rPr>
            <m:t>i</m:t>
          </m:r>
          <m:r>
            <m:rPr>
              <m:scr m:val="sans-serif"/>
              <m:sty m:val="p"/>
            </m:rPr>
            <m:t>t</m:t>
          </m:r>
          <m:r>
            <m:rPr>
              <m:scr m:val="sans-serif"/>
              <m:sty m:val="p"/>
            </m:rPr>
            <m:t>i</m:t>
          </m:r>
          <m:r>
            <m:rPr>
              <m:scr m:val="sans-serif"/>
              <m:sty m:val="p"/>
            </m:rPr>
            <m:t>o</m:t>
          </m:r>
          <m:r>
            <m:rPr>
              <m:scr m:val="sans-serif"/>
              <m:sty m:val="p"/>
            </m:rPr>
            <m:t>n</m:t>
          </m:r>
          <m:r>
            <m:rPr>
              <m:sty m:val="p"/>
            </m:rPr>
            <m:t>(</m:t>
          </m:r>
          <m:sSub>
            <m:e>
              <m:r>
                <m:t>D</m:t>
              </m:r>
            </m:e>
            <m:sub>
              <m:r>
                <m:rPr>
                  <m:sty m:val="p"/>
                </m:rPr>
                <m:t>d</m:t>
              </m:r>
              <m:r>
                <m:rPr>
                  <m:sty m:val="p"/>
                </m:rPr>
                <m:t>i</m:t>
              </m:r>
              <m:r>
                <m:rPr>
                  <m:sty m:val="p"/>
                </m:rPr>
                <m:t>s</m:t>
              </m:r>
              <m:r>
                <m:rPr>
                  <m:sty m:val="p"/>
                </m:rPr>
                <m:t>c</m:t>
              </m:r>
              <m:r>
                <m:rPr>
                  <m:sty m:val="p"/>
                </m:rPr>
                <m:t>o</m:t>
              </m:r>
              <m:r>
                <m:rPr>
                  <m:sty m:val="p"/>
                </m:rPr>
                <m:t>v</m:t>
              </m:r>
              <m:r>
                <m:rPr>
                  <m:sty m:val="p"/>
                </m:rPr>
                <m:t>e</m:t>
              </m:r>
              <m:r>
                <m:rPr>
                  <m:sty m:val="p"/>
                </m:rPr>
                <m:t>r</m:t>
              </m:r>
              <m:r>
                <m:rPr>
                  <m:sty m:val="p"/>
                </m:rPr>
                <m:t>y</m:t>
              </m:r>
            </m:sub>
          </m:sSub>
          <m:r>
            <m:rPr>
              <m:sty m:val="p"/>
            </m:rPr>
            <m:t>)</m:t>
          </m:r>
          <m:r>
            <m:rPr>
              <m:sty m:val="p"/>
            </m:rPr>
            <m:t>,</m:t>
          </m:r>
          <m:r>
            <m:t>  </m:t>
          </m:r>
          <m:sSub>
            <m:e>
              <m:r>
                <m:t>M</m:t>
              </m:r>
            </m:e>
            <m:sub>
              <m:r>
                <m:t>C</m:t>
              </m:r>
            </m:sub>
          </m:sSub>
          <m:r>
            <m:rPr>
              <m:sty m:val="p"/>
            </m:rPr>
            <m:t>(</m:t>
          </m:r>
          <m:r>
            <m:t>S</m:t>
          </m:r>
          <m:r>
            <m:rPr>
              <m:sty m:val="p"/>
            </m:rPr>
            <m:t>)</m:t>
          </m:r>
          <m:r>
            <m:rPr>
              <m:sty m:val="p"/>
            </m:rPr>
            <m:t>=</m:t>
          </m:r>
          <m:r>
            <m:rPr>
              <m:scr m:val="sans-serif"/>
              <m:sty m:val="p"/>
            </m:rPr>
            <m:t>M</m:t>
          </m:r>
          <m:r>
            <m:rPr>
              <m:scr m:val="sans-serif"/>
              <m:sty m:val="p"/>
            </m:rPr>
            <m:t>e</m:t>
          </m:r>
          <m:r>
            <m:rPr>
              <m:scr m:val="sans-serif"/>
              <m:sty m:val="p"/>
            </m:rPr>
            <m:t>a</m:t>
          </m:r>
          <m:r>
            <m:rPr>
              <m:scr m:val="sans-serif"/>
              <m:sty m:val="p"/>
            </m:rPr>
            <m:t>s</m:t>
          </m:r>
          <m:r>
            <m:rPr>
              <m:scr m:val="sans-serif"/>
              <m:sty m:val="p"/>
            </m:rPr>
            <m:t>u</m:t>
          </m:r>
          <m:r>
            <m:rPr>
              <m:scr m:val="sans-serif"/>
              <m:sty m:val="p"/>
            </m:rPr>
            <m:t>r</m:t>
          </m:r>
          <m:r>
            <m:rPr>
              <m:scr m:val="sans-serif"/>
              <m:sty m:val="p"/>
            </m:rPr>
            <m:t>e</m:t>
          </m:r>
          <m:r>
            <m:rPr>
              <m:sty m:val="p"/>
            </m:rPr>
            <m:t>(</m:t>
          </m:r>
          <m:r>
            <m:t>S</m:t>
          </m:r>
          <m:r>
            <m:rPr>
              <m:sty m:val="p"/>
            </m:rPr>
            <m:t>,</m:t>
          </m:r>
          <m:sSub>
            <m:e>
              <m:r>
                <m:t>D</m:t>
              </m:r>
            </m:e>
            <m:sub>
              <m:r>
                <m:rPr>
                  <m:sty m:val="p"/>
                </m:rPr>
                <m:t>t</m:t>
              </m:r>
              <m:r>
                <m:rPr>
                  <m:sty m:val="p"/>
                </m:rPr>
                <m:t>e</m:t>
              </m:r>
              <m:r>
                <m:rPr>
                  <m:sty m:val="p"/>
                </m:rPr>
                <m:t>s</m:t>
              </m:r>
              <m:r>
                <m:rPr>
                  <m:sty m:val="p"/>
                </m:rPr>
                <m:t>t</m:t>
              </m:r>
            </m:sub>
          </m:sSub>
          <m:r>
            <m:rPr>
              <m:sty m:val="p"/>
            </m:rPr>
            <m:t>)</m:t>
          </m:r>
          <m:r>
            <m:rPr>
              <m:sty m:val="p"/>
            </m:rPr>
            <m:t>,</m:t>
          </m:r>
          <m:r>
            <m:t> </m:t>
          </m:r>
          <m:r>
            <m:t>S</m:t>
          </m:r>
          <m:r>
            <m:rPr>
              <m:sty m:val="p"/>
            </m:rPr>
            <m:t>∈</m:t>
          </m:r>
          <m:r>
            <m:rPr>
              <m:scr m:val="script"/>
              <m:sty m:val="p"/>
            </m:rPr>
            <m:t>P</m:t>
          </m:r>
          <m:r>
            <m:rPr>
              <m:sty m:val="p"/>
            </m:rPr>
            <m:t>,</m:t>
          </m:r>
        </m:oMath>
      </m:oMathPara>
    </w:p>
    <w:p>
      <w:pPr>
        <w:pStyle w:val="FirstParagraph"/>
      </w:pPr>
      <w:r>
        <w:t xml:space="preserve">where the candidate family</w:t>
      </w:r>
      <w:r>
        <w:t xml:space="preserve"> </w:t>
      </w:r>
      <m:oMath>
        <m:r>
          <m:rPr>
            <m:scr m:val="script"/>
            <m:sty m:val="p"/>
          </m:rPr>
          <m:t>P</m:t>
        </m:r>
      </m:oMath>
      <w:r>
        <w:t xml:space="preserve"> </w:t>
      </w:r>
      <w:r>
        <w:t xml:space="preserve">is generated from separate data or interventions using a consciousness-independent autonomy rule.</w:t>
      </w:r>
    </w:p>
    <w:p>
      <w:pPr>
        <w:pStyle w:val="BodyText"/>
      </w:pPr>
      <w:r>
        <w:rPr>
          <w:b/>
          <w:bCs/>
        </w:rPr>
        <w:t xml:space="preserve">Why data separation matters.</w:t>
      </w:r>
      <w:r>
        <w:t xml:space="preserve"> </w:t>
      </w:r>
      <w:r>
        <w:t xml:space="preserve">If the same noise fluctuations generate a candidate and certify its consciousness score, formal ordering alone will not prevent overfitting. Discovery and test data should therefore be split whenever feasible.</w:t>
      </w:r>
    </w:p>
    <w:bookmarkEnd w:id="16"/>
    <w:bookmarkEnd w:id="17"/>
    <w:bookmarkStart w:id="24" w:name="desiderata-for-a-boundary-criterion"/>
    <w:p>
      <w:pPr>
        <w:pStyle w:val="Heading2"/>
      </w:pPr>
      <w:r>
        <w:t xml:space="preserve">3. Desiderata for a Boundary Criterion</w:t>
      </w:r>
    </w:p>
    <w:p>
      <w:pPr>
        <w:pStyle w:val="FirstParagraph"/>
      </w:pPr>
      <w:r>
        <w:t xml:space="preserve">A useful criterion should meet the following requirements.</w:t>
      </w:r>
    </w:p>
    <w:bookmarkStart w:id="18" w:name="causal-rather-than-merely-correlational"/>
    <w:p>
      <w:pPr>
        <w:pStyle w:val="Heading3"/>
      </w:pPr>
      <w:r>
        <w:t xml:space="preserve">3.1 Causal rather than merely correlational</w:t>
      </w:r>
    </w:p>
    <w:p>
      <w:pPr>
        <w:pStyle w:val="FirstParagraph"/>
      </w:pPr>
      <w:r>
        <w:t xml:space="preserve">Correlated components need not form a system. Two agents watching the same screen, two brain regions driven by a common input, or two servers reading the same database can synchronize without constituting one autonomous unit. Candidate generation should therefore use perturbational evidence, directed effective connectivity, or a causal model whose assumptions are explicit.</w:t>
      </w:r>
    </w:p>
    <w:bookmarkEnd w:id="18"/>
    <w:bookmarkStart w:id="19" w:name="compatible-with-openness"/>
    <w:p>
      <w:pPr>
        <w:pStyle w:val="Heading3"/>
      </w:pPr>
      <w:r>
        <w:t xml:space="preserve">3.2 Compatible with openness</w:t>
      </w:r>
    </w:p>
    <w:p>
      <w:pPr>
        <w:pStyle w:val="FirstParagraph"/>
      </w:pPr>
      <w:r>
        <w:t xml:space="preserve">Organisms exchange matter, energy, and signals with their environments. Artificial systems depend on power, networks, and operators. Autonomy cannot mean isolation. It should mean that endogenous organization makes a substantial and robust contribution to the system’s own unfolding relative to externally imposed control. This is close to information-theoretic and dynamical treatments of autonomy, and to biological accounts that distinguish operational closure from thermodynamic openness (Bertschinger et al., 2008; Moreno &amp; Mossio, 2015; Krakauer et al., 2020).</w:t>
      </w:r>
    </w:p>
    <w:bookmarkEnd w:id="19"/>
    <w:bookmarkStart w:id="20" w:name="indexed-to-grain-and-horizon"/>
    <w:p>
      <w:pPr>
        <w:pStyle w:val="Heading3"/>
      </w:pPr>
      <w:r>
        <w:t xml:space="preserve">3.3 Indexed to grain and horizon</w:t>
      </w:r>
    </w:p>
    <w:p>
      <w:pPr>
        <w:pStyle w:val="FirstParagraph"/>
      </w:pPr>
      <w:r>
        <w:t xml:space="preserve">A cortex may be relatively autonomous over hundreds of milliseconds but dependent on bodily regulation over minutes. A language-model process may be bounded during one inference but depend on persistent external memory across a day. Boundaries should therefore be reported as</w:t>
      </w:r>
      <w:r>
        <w:t xml:space="preserve"> </w:t>
      </w:r>
      <m:oMath>
        <m:sSub>
          <m:e>
            <m:r>
              <m:t>S</m:t>
            </m:r>
          </m:e>
          <m:sub>
            <m:r>
              <m:t>g</m:t>
            </m:r>
            <m:r>
              <m:rPr>
                <m:sty m:val="p"/>
              </m:rPr>
              <m:t>,</m:t>
            </m:r>
            <m:r>
              <m:rPr>
                <m:sty m:val="p"/>
              </m:rPr>
              <m:t>Δ</m:t>
            </m:r>
          </m:sub>
        </m:sSub>
      </m:oMath>
      <w:r>
        <w:t xml:space="preserve">, not as timeless objects.</w:t>
      </w:r>
    </w:p>
    <w:bookmarkEnd w:id="20"/>
    <w:bookmarkStart w:id="21" w:name="X10ee8df24518063e95658fd2ff0b54cccf5460e"/>
    <w:p>
      <w:pPr>
        <w:pStyle w:val="Heading3"/>
      </w:pPr>
      <w:r>
        <w:t xml:space="preserve">3.4 Sensitive to constitution, not remote dependence</w:t>
      </w:r>
    </w:p>
    <w:p>
      <w:pPr>
        <w:pStyle w:val="FirstParagraph"/>
      </w:pPr>
      <w:r>
        <w:t xml:space="preserve">Every biological subject depends on oxygen, temperature, and a long causal history. If every necessary background condition were included, the subject would expand toward the planet. The criterion must distinguish a component that participates in the target organization from a condition that merely enables it.</w:t>
      </w:r>
    </w:p>
    <w:bookmarkEnd w:id="21"/>
    <w:bookmarkStart w:id="22" w:name="able-to-return-more-than-one-answer"/>
    <w:p>
      <w:pPr>
        <w:pStyle w:val="Heading3"/>
      </w:pPr>
      <w:r>
        <w:t xml:space="preserve">3.5 Able to return more than one answer</w:t>
      </w:r>
    </w:p>
    <w:p>
      <w:pPr>
        <w:pStyle w:val="FirstParagraph"/>
      </w:pPr>
      <w:r>
        <w:t xml:space="preserve">Split systems, nested control hierarchies, and distributed architectures may not yield one unique boundary. A method that forces unity by definition cannot discover multiple subjects. A method that proliferates subjects at every scale is equally unhelpful. The output space must include one candidate, several candidates, no candidate, and indeterminate boundary.</w:t>
      </w:r>
    </w:p>
    <w:bookmarkEnd w:id="22"/>
    <w:bookmarkStart w:id="23" w:name="resistant-to-analyst-flexibility"/>
    <w:p>
      <w:pPr>
        <w:pStyle w:val="Heading3"/>
      </w:pPr>
      <w:r>
        <w:t xml:space="preserve">3.6 Resistant to analyst flexibility</w:t>
      </w:r>
    </w:p>
    <w:p>
      <w:pPr>
        <w:pStyle w:val="FirstParagraph"/>
      </w:pPr>
      <w:r>
        <w:t xml:space="preserve">The variable universe, grain, horizon, intervention set, distance metric, thresholds, candidate-generation procedure, and tie rules should be fixed before the critical consciousness result is examined. Sensitivity analyses should be mandatory, not optional decoration.</w:t>
      </w:r>
    </w:p>
    <w:bookmarkEnd w:id="23"/>
    <w:bookmarkEnd w:id="24"/>
    <w:bookmarkStart w:id="34" w:name="formal-framework"/>
    <w:p>
      <w:pPr>
        <w:pStyle w:val="Heading2"/>
      </w:pPr>
      <w:r>
        <w:t xml:space="preserve">4. Formal Framework</w:t>
      </w:r>
    </w:p>
    <w:bookmarkStart w:id="25" w:name="analysis-specification"/>
    <w:p>
      <w:pPr>
        <w:pStyle w:val="Heading3"/>
      </w:pPr>
      <w:r>
        <w:t xml:space="preserve">4.1 Analysis specification</w:t>
      </w:r>
    </w:p>
    <w:p>
      <w:pPr>
        <w:pStyle w:val="FirstParagraph"/>
      </w:pPr>
      <w:r>
        <w:t xml:space="preserve">Define an analysis specification</w:t>
      </w:r>
    </w:p>
    <w:p>
      <w:pPr>
        <w:pStyle w:val="BodyText"/>
      </w:pPr>
      <m:oMathPara>
        <m:oMathParaPr>
          <m:jc m:val="center"/>
        </m:oMathParaPr>
        <m:oMath>
          <m:r>
            <m:rPr>
              <m:sty m:val="p"/>
            </m:rPr>
            <m:t>Θ</m:t>
          </m:r>
          <m:r>
            <m:rPr>
              <m:sty m:val="p"/>
            </m:rPr>
            <m:t>=</m:t>
          </m:r>
          <m:r>
            <m:rPr>
              <m:sty m:val="p"/>
            </m:rPr>
            <m:t>⟨</m:t>
          </m:r>
          <m:r>
            <m:rPr>
              <m:sty m:val="p"/>
            </m:rPr>
            <m:t>Ω</m:t>
          </m:r>
          <m:r>
            <m:rPr>
              <m:sty m:val="p"/>
            </m:rPr>
            <m:t>,</m:t>
          </m:r>
          <m:r>
            <m:t>g</m:t>
          </m:r>
          <m:r>
            <m:rPr>
              <m:sty m:val="p"/>
            </m:rPr>
            <m:t>,</m:t>
          </m:r>
          <m:r>
            <m:rPr>
              <m:sty m:val="p"/>
            </m:rPr>
            <m:t>Δ</m:t>
          </m:r>
          <m:r>
            <m:rPr>
              <m:sty m:val="p"/>
            </m:rPr>
            <m:t>,</m:t>
          </m:r>
          <m:r>
            <m:rPr>
              <m:scr m:val="script"/>
              <m:sty m:val="p"/>
            </m:rPr>
            <m:t>R</m:t>
          </m:r>
          <m:r>
            <m:rPr>
              <m:sty m:val="p"/>
            </m:rPr>
            <m:t>,</m:t>
          </m:r>
          <m:r>
            <m:rPr>
              <m:scr m:val="script"/>
              <m:sty m:val="p"/>
            </m:rPr>
            <m:t>I</m:t>
          </m:r>
          <m:r>
            <m:rPr>
              <m:sty m:val="p"/>
            </m:rPr>
            <m:t>,</m:t>
          </m:r>
          <m:r>
            <m:t>d</m:t>
          </m:r>
          <m:r>
            <m:rPr>
              <m:sty m:val="p"/>
            </m:rPr>
            <m:t>,</m:t>
          </m:r>
          <m:r>
            <m:t>α</m:t>
          </m:r>
          <m:r>
            <m:rPr>
              <m:sty m:val="p"/>
            </m:rPr>
            <m:t>,</m:t>
          </m:r>
          <m:r>
            <m:t>σ</m:t>
          </m:r>
          <m:r>
            <m:rPr>
              <m:sty m:val="p"/>
            </m:rPr>
            <m:t>,</m:t>
          </m:r>
          <m:r>
            <m:rPr>
              <m:sty m:val="bi"/>
            </m:rPr>
            <m:t>τ</m:t>
          </m:r>
          <m:r>
            <m:rPr>
              <m:sty m:val="p"/>
            </m:rPr>
            <m:t>,</m:t>
          </m:r>
          <m:r>
            <m:t>ρ</m:t>
          </m:r>
          <m:r>
            <m:rPr>
              <m:sty m:val="p"/>
            </m:rPr>
            <m:t>⟩</m:t>
          </m:r>
          <m:r>
            <m:rPr>
              <m:sty m:val="p"/>
            </m:rPr>
            <m:t>,</m:t>
          </m:r>
        </m:oMath>
      </m:oMathPara>
    </w:p>
    <w:p>
      <w:pPr>
        <w:pStyle w:val="FirstParagraph"/>
      </w:pPr>
      <w:r>
        <w:t xml:space="preserve">where:</w:t>
      </w:r>
    </w:p>
    <w:p>
      <w:pPr>
        <w:pStyle w:val="Compact"/>
        <w:numPr>
          <w:ilvl w:val="0"/>
          <w:numId w:val="1003"/>
        </w:numPr>
      </w:pPr>
      <m:oMath>
        <m:r>
          <m:rPr>
            <m:sty m:val="p"/>
          </m:rPr>
          <m:t>Ω</m:t>
        </m:r>
      </m:oMath>
      <w:r>
        <w:t xml:space="preserve"> </w:t>
      </w:r>
      <w:r>
        <w:t xml:space="preserve">is the declared universe of measured variables;</w:t>
      </w:r>
    </w:p>
    <w:p>
      <w:pPr>
        <w:pStyle w:val="Compact"/>
        <w:numPr>
          <w:ilvl w:val="0"/>
          <w:numId w:val="1003"/>
        </w:numPr>
      </w:pPr>
      <m:oMath>
        <m:r>
          <m:t>g</m:t>
        </m:r>
      </m:oMath>
      <w:r>
        <w:t xml:space="preserve"> </w:t>
      </w:r>
      <w:r>
        <w:t xml:space="preserve">is the spatial, functional, and temporal grain;</w:t>
      </w:r>
    </w:p>
    <w:p>
      <w:pPr>
        <w:pStyle w:val="Compact"/>
        <w:numPr>
          <w:ilvl w:val="0"/>
          <w:numId w:val="1003"/>
        </w:numPr>
      </w:pPr>
      <m:oMath>
        <m:r>
          <m:rPr>
            <m:sty m:val="p"/>
          </m:rPr>
          <m:t>Δ</m:t>
        </m:r>
      </m:oMath>
      <w:r>
        <w:t xml:space="preserve"> </w:t>
      </w:r>
      <w:r>
        <w:t xml:space="preserve">is the causal evaluation horizon;</w:t>
      </w:r>
    </w:p>
    <w:p>
      <w:pPr>
        <w:pStyle w:val="Compact"/>
        <w:numPr>
          <w:ilvl w:val="0"/>
          <w:numId w:val="1003"/>
        </w:numPr>
      </w:pPr>
      <m:oMath>
        <m:r>
          <m:rPr>
            <m:scr m:val="script"/>
            <m:sty m:val="p"/>
          </m:rPr>
          <m:t>R</m:t>
        </m:r>
      </m:oMath>
      <w:r>
        <w:t xml:space="preserve"> </w:t>
      </w:r>
      <w:r>
        <w:t xml:space="preserve">is the operating regime, such as waking rest, task performance, or a deployed runtime;</w:t>
      </w:r>
    </w:p>
    <w:p>
      <w:pPr>
        <w:pStyle w:val="Compact"/>
        <w:numPr>
          <w:ilvl w:val="0"/>
          <w:numId w:val="1003"/>
        </w:numPr>
      </w:pPr>
      <m:oMath>
        <m:r>
          <m:rPr>
            <m:scr m:val="script"/>
            <m:sty m:val="p"/>
          </m:rPr>
          <m:t>I</m:t>
        </m:r>
      </m:oMath>
      <w:r>
        <w:t xml:space="preserve"> </w:t>
      </w:r>
      <w:r>
        <w:t xml:space="preserve">is the admissible intervention family;</w:t>
      </w:r>
    </w:p>
    <w:p>
      <w:pPr>
        <w:pStyle w:val="Compact"/>
        <w:numPr>
          <w:ilvl w:val="0"/>
          <w:numId w:val="1003"/>
        </w:numPr>
      </w:pPr>
      <m:oMath>
        <m:r>
          <m:t>d</m:t>
        </m:r>
      </m:oMath>
      <w:r>
        <w:t xml:space="preserve"> </w:t>
      </w:r>
      <w:r>
        <w:t xml:space="preserve">is a distance between interventional trajectory distributions;</w:t>
      </w:r>
    </w:p>
    <w:p>
      <w:pPr>
        <w:pStyle w:val="Compact"/>
        <w:numPr>
          <w:ilvl w:val="0"/>
          <w:numId w:val="1003"/>
        </w:numPr>
      </w:pPr>
      <m:oMath>
        <m:r>
          <m:t>α</m:t>
        </m:r>
      </m:oMath>
      <w:r>
        <w:t xml:space="preserve"> </w:t>
      </w:r>
      <w:r>
        <w:t xml:space="preserve">is the minimum autonomy threshold;</w:t>
      </w:r>
    </w:p>
    <w:p>
      <w:pPr>
        <w:pStyle w:val="Compact"/>
        <w:numPr>
          <w:ilvl w:val="0"/>
          <w:numId w:val="1003"/>
        </w:numPr>
      </w:pPr>
      <m:oMath>
        <m:r>
          <m:t>σ</m:t>
        </m:r>
      </m:oMath>
      <w:r>
        <w:t xml:space="preserve"> </w:t>
      </w:r>
      <w:r>
        <w:t xml:space="preserve">is the minimum endogenous causal-capacity threshold;</w:t>
      </w:r>
    </w:p>
    <w:p>
      <w:pPr>
        <w:pStyle w:val="Compact"/>
        <w:numPr>
          <w:ilvl w:val="0"/>
          <w:numId w:val="1003"/>
        </w:numPr>
      </w:pPr>
      <m:oMath>
        <m:r>
          <m:rPr>
            <m:sty m:val="bi"/>
          </m:rPr>
          <m:t>τ</m:t>
        </m:r>
        <m:r>
          <m:rPr>
            <m:sty m:val="p"/>
          </m:rPr>
          <m:t>=</m:t>
        </m:r>
        <m:r>
          <m:rPr>
            <m:sty m:val="p"/>
          </m:rPr>
          <m:t>(</m:t>
        </m:r>
        <m:sSub>
          <m:e>
            <m:r>
              <m:t>τ</m:t>
            </m:r>
          </m:e>
          <m:sub>
            <m:r>
              <m:t>1</m:t>
            </m:r>
          </m:sub>
        </m:sSub>
        <m:r>
          <m:rPr>
            <m:sty m:val="p"/>
          </m:rPr>
          <m:t>,</m:t>
        </m:r>
        <m:sSub>
          <m:e>
            <m:r>
              <m:t>τ</m:t>
            </m:r>
          </m:e>
          <m:sub>
            <m:r>
              <m:t>2</m:t>
            </m:r>
          </m:sub>
        </m:sSub>
        <m:r>
          <m:rPr>
            <m:sty m:val="p"/>
          </m:rPr>
          <m:t>,</m:t>
        </m:r>
        <m:sSub>
          <m:e>
            <m:r>
              <m:t>τ</m:t>
            </m:r>
          </m:e>
          <m:sub>
            <m:r>
              <m:t>3</m:t>
            </m:r>
          </m:sub>
        </m:sSub>
        <m:r>
          <m:rPr>
            <m:sty m:val="p"/>
          </m:rPr>
          <m:t>,</m:t>
        </m:r>
        <m:sSub>
          <m:e>
            <m:r>
              <m:t>τ</m:t>
            </m:r>
          </m:e>
          <m:sub>
            <m:r>
              <m:t>V</m:t>
            </m:r>
          </m:sub>
        </m:sSub>
        <m:r>
          <m:rPr>
            <m:sty m:val="p"/>
          </m:rPr>
          <m:t>)</m:t>
        </m:r>
      </m:oMath>
      <w:r>
        <w:t xml:space="preserve"> </w:t>
      </w:r>
      <w:r>
        <w:t xml:space="preserve">contains the role thresholds;</w:t>
      </w:r>
    </w:p>
    <w:p>
      <w:pPr>
        <w:pStyle w:val="Compact"/>
        <w:numPr>
          <w:ilvl w:val="0"/>
          <w:numId w:val="1003"/>
        </w:numPr>
      </w:pPr>
      <m:oMath>
        <m:r>
          <m:t>ρ</m:t>
        </m:r>
      </m:oMath>
      <w:r>
        <w:t xml:space="preserve"> </w:t>
      </w:r>
      <w:r>
        <w:t xml:space="preserve">is the required robustness across reasonable specifications.</w:t>
      </w:r>
    </w:p>
    <w:p>
      <w:pPr>
        <w:pStyle w:val="FirstParagraph"/>
      </w:pPr>
      <w:r>
        <w:rPr>
          <w:b/>
          <w:bCs/>
        </w:rPr>
        <w:t xml:space="preserve">Plain-language reading.</w:t>
      </w:r>
      <w:r>
        <w:t xml:space="preserve"> </w:t>
      </w:r>
      <m:oMath>
        <m:r>
          <m:rPr>
            <m:sty m:val="p"/>
          </m:rPr>
          <m:t>Θ</m:t>
        </m:r>
      </m:oMath>
      <w:r>
        <w:t xml:space="preserve"> </w:t>
      </w:r>
      <w:r>
        <w:t xml:space="preserve">records every choice that could otherwise be adjusted after the result: what was measured, how it was grouped, how long its dynamics were followed, which perturbations counted, and where the cutoffs were placed.</w:t>
      </w:r>
    </w:p>
    <w:p>
      <w:pPr>
        <w:pStyle w:val="BodyText"/>
      </w:pPr>
      <w:r>
        <w:rPr>
          <w:b/>
          <w:bCs/>
        </w:rPr>
        <w:t xml:space="preserve">Why</w:t>
      </w:r>
      <w:r>
        <w:rPr>
          <w:b/>
          <w:bCs/>
        </w:rPr>
        <w:t xml:space="preserve"> </w:t>
      </w:r>
      <m:oMath>
        <m:r>
          <m:rPr>
            <m:scr m:val="script"/>
            <m:sty m:val="p"/>
          </m:rPr>
          <m:t>R</m:t>
        </m:r>
      </m:oMath>
      <w:r>
        <w:rPr>
          <w:b/>
          <w:bCs/>
        </w:rPr>
        <w:t xml:space="preserve"> </w:t>
      </w:r>
      <w:r>
        <w:rPr>
          <w:b/>
          <w:bCs/>
        </w:rPr>
        <w:t xml:space="preserve">is included.</w:t>
      </w:r>
      <w:r>
        <w:t xml:space="preserve"> </w:t>
      </w:r>
      <w:r>
        <w:t xml:space="preserve">Boundaries may change across regimes. Sleep, anesthesia, callosal disconnection, task coupling, or loss of network services can alter the causal unit. The method should detect such changes rather than forcing one anatomical boundary across all states.</w:t>
      </w:r>
    </w:p>
    <w:bookmarkEnd w:id="25"/>
    <w:bookmarkStart w:id="26" w:name="endogenous-causal-capacity"/>
    <w:p>
      <w:pPr>
        <w:pStyle w:val="Heading3"/>
      </w:pPr>
      <w:r>
        <w:t xml:space="preserve">4.2 Endogenous causal capacity</w:t>
      </w:r>
    </w:p>
    <w:p>
      <w:pPr>
        <w:pStyle w:val="FirstParagraph"/>
      </w:pPr>
      <w:r>
        <w:t xml:space="preserve">For candidate</w:t>
      </w:r>
      <w:r>
        <w:t xml:space="preserve"> </w:t>
      </w:r>
      <m:oMath>
        <m:r>
          <m:t>S</m:t>
        </m:r>
      </m:oMath>
      <w:r>
        <w:t xml:space="preserve">, compare the future trajectory</w:t>
      </w:r>
      <w:r>
        <w:t xml:space="preserve"> </w:t>
      </w:r>
      <m:oMath>
        <m:sSubSup>
          <m:e>
            <m:r>
              <m:t>X</m:t>
            </m:r>
          </m:e>
          <m:sub>
            <m:r>
              <m:t>t</m:t>
            </m:r>
            <m:r>
              <m:rPr>
                <m:sty m:val="p"/>
              </m:rPr>
              <m:t>:</m:t>
            </m:r>
            <m:r>
              <m:t>t</m:t>
            </m:r>
            <m:r>
              <m:rPr>
                <m:sty m:val="p"/>
              </m:rPr>
              <m:t>+</m:t>
            </m:r>
            <m:r>
              <m:rPr>
                <m:sty m:val="p"/>
              </m:rPr>
              <m:t>Δ</m:t>
            </m:r>
          </m:sub>
          <m:sup>
            <m:r>
              <m:t>S</m:t>
            </m:r>
          </m:sup>
        </m:sSubSup>
      </m:oMath>
      <w:r>
        <w:t xml:space="preserve"> </w:t>
      </w:r>
      <w:r>
        <w:t xml:space="preserve">under interventions on its own initial or control states. Define</w:t>
      </w:r>
    </w:p>
    <w:p>
      <w:pPr>
        <w:pStyle w:val="BodyText"/>
      </w:pPr>
      <m:oMathPara>
        <m:oMathParaPr>
          <m:jc m:val="center"/>
        </m:oMathParaPr>
        <m:oMath>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sSub>
            <m:e>
              <m:r>
                <m:rPr>
                  <m:scr m:val="double-struck"/>
                  <m:sty m:val="p"/>
                </m:rPr>
                <m:t>E</m:t>
              </m:r>
            </m:e>
            <m:sub>
              <m:r>
                <m:t>x</m:t>
              </m:r>
              <m:r>
                <m:rPr>
                  <m:sty m:val="p"/>
                </m:rPr>
                <m:t>,</m:t>
              </m:r>
              <m:sSup>
                <m:e>
                  <m:r>
                    <m:t>x</m:t>
                  </m:r>
                </m:e>
                <m:sup>
                  <m:r>
                    <m:rPr>
                      <m:sty m:val="p"/>
                    </m:rPr>
                    <m:t>′</m:t>
                  </m:r>
                </m:sup>
              </m:sSup>
              <m:r>
                <m:rPr>
                  <m:sty m:val="p"/>
                </m:rPr>
                <m:t>,</m:t>
              </m:r>
              <m:r>
                <m:t>e</m:t>
              </m:r>
            </m:sub>
          </m:sSub>
          <m:d>
            <m:dPr>
              <m:begChr m:val="["/>
              <m:sepChr m:val=""/>
              <m:endChr m:val="]"/>
              <m:grow/>
            </m:dPr>
            <m:e>
              <m:r>
                <m:t>d</m:t>
              </m:r>
              <m:r>
                <m:t>​</m:t>
              </m:r>
              <m:d>
                <m:dPr>
                  <m:begChr m:val="("/>
                  <m:sepChr m:val=""/>
                  <m:endChr m:val=")"/>
                  <m:grow/>
                </m:dPr>
                <m:e>
                  <m:r>
                    <m:t>P</m:t>
                  </m:r>
                  <m:r>
                    <m:rPr>
                      <m:sty m:val="p"/>
                    </m:rPr>
                    <m:t>(</m:t>
                  </m:r>
                  <m:sSubSup>
                    <m:e>
                      <m:r>
                        <m:t>X</m:t>
                      </m:r>
                    </m:e>
                    <m:sub>
                      <m:r>
                        <m:t>t</m:t>
                      </m:r>
                      <m:r>
                        <m:rPr>
                          <m:sty m:val="p"/>
                        </m:rPr>
                        <m:t>:</m:t>
                      </m:r>
                      <m:r>
                        <m:t>t</m:t>
                      </m:r>
                      <m:r>
                        <m:rPr>
                          <m:sty m:val="p"/>
                        </m:rPr>
                        <m:t>+</m:t>
                      </m:r>
                      <m:r>
                        <m:rPr>
                          <m:sty m:val="p"/>
                        </m:rPr>
                        <m:t>Δ</m:t>
                      </m:r>
                    </m:sub>
                    <m:sup>
                      <m:r>
                        <m:t>S</m:t>
                      </m:r>
                    </m:sup>
                  </m:sSubSup>
                  <m:r>
                    <m:rPr>
                      <m:sty m:val="p"/>
                    </m:rPr>
                    <m:t>∣</m:t>
                  </m:r>
                  <m:r>
                    <m:t>d</m:t>
                  </m:r>
                  <m:r>
                    <m:t>o</m:t>
                  </m:r>
                  <m:r>
                    <m:rPr>
                      <m:sty m:val="p"/>
                    </m:rPr>
                    <m:t>(</m:t>
                  </m:r>
                  <m:sSubSup>
                    <m:e>
                      <m:r>
                        <m:t>X</m:t>
                      </m:r>
                    </m:e>
                    <m:sub>
                      <m:r>
                        <m:t>t</m:t>
                      </m:r>
                    </m:sub>
                    <m:sup>
                      <m:r>
                        <m:t>S</m:t>
                      </m:r>
                    </m:sup>
                  </m:sSubSup>
                  <m:r>
                    <m:rPr>
                      <m:sty m:val="p"/>
                    </m:rPr>
                    <m:t>=</m:t>
                  </m:r>
                  <m:r>
                    <m:t>x</m:t>
                  </m:r>
                  <m:r>
                    <m:rPr>
                      <m:sty m:val="p"/>
                    </m:rPr>
                    <m:t>)</m:t>
                  </m:r>
                  <m:r>
                    <m:rPr>
                      <m:sty m:val="p"/>
                    </m:rPr>
                    <m:t>,</m:t>
                  </m:r>
                  <m:r>
                    <m:t>d</m:t>
                  </m:r>
                  <m:r>
                    <m:t>o</m:t>
                  </m:r>
                  <m:r>
                    <m:rPr>
                      <m:sty m:val="p"/>
                    </m:rPr>
                    <m:t>(</m:t>
                  </m:r>
                  <m:sSubSup>
                    <m:e>
                      <m:r>
                        <m:t>X</m:t>
                      </m:r>
                    </m:e>
                    <m:sub>
                      <m:r>
                        <m:t>t</m:t>
                      </m:r>
                    </m:sub>
                    <m:sup>
                      <m:acc>
                        <m:accPr>
                          <m:chr m:val="‾"/>
                        </m:accPr>
                        <m:e>
                          <m:r>
                            <m:t>S</m:t>
                          </m:r>
                        </m:e>
                      </m:acc>
                    </m:sup>
                  </m:sSubSup>
                  <m:r>
                    <m:rPr>
                      <m:sty m:val="p"/>
                    </m:rPr>
                    <m:t>=</m:t>
                  </m:r>
                  <m:r>
                    <m:t>e</m:t>
                  </m:r>
                  <m:r>
                    <m:rPr>
                      <m:sty m:val="p"/>
                    </m:rPr>
                    <m:t>)</m:t>
                  </m:r>
                  <m:r>
                    <m:rPr>
                      <m:sty m:val="p"/>
                    </m:rPr>
                    <m:t>)</m:t>
                  </m:r>
                  <m:r>
                    <m:rPr>
                      <m:sty m:val="p"/>
                    </m:rPr>
                    <m:t>,</m:t>
                  </m:r>
                  <m:r>
                    <m:t>P</m:t>
                  </m:r>
                  <m:r>
                    <m:rPr>
                      <m:sty m:val="p"/>
                    </m:rPr>
                    <m:t>(</m:t>
                  </m:r>
                  <m:sSubSup>
                    <m:e>
                      <m:r>
                        <m:t>X</m:t>
                      </m:r>
                    </m:e>
                    <m:sub>
                      <m:r>
                        <m:t>t</m:t>
                      </m:r>
                      <m:r>
                        <m:rPr>
                          <m:sty m:val="p"/>
                        </m:rPr>
                        <m:t>:</m:t>
                      </m:r>
                      <m:r>
                        <m:t>t</m:t>
                      </m:r>
                      <m:r>
                        <m:rPr>
                          <m:sty m:val="p"/>
                        </m:rPr>
                        <m:t>+</m:t>
                      </m:r>
                      <m:r>
                        <m:rPr>
                          <m:sty m:val="p"/>
                        </m:rPr>
                        <m:t>Δ</m:t>
                      </m:r>
                    </m:sub>
                    <m:sup>
                      <m:r>
                        <m:t>S</m:t>
                      </m:r>
                    </m:sup>
                  </m:sSubSup>
                  <m:r>
                    <m:rPr>
                      <m:sty m:val="p"/>
                    </m:rPr>
                    <m:t>∣</m:t>
                  </m:r>
                  <m:r>
                    <m:t>d</m:t>
                  </m:r>
                  <m:r>
                    <m:t>o</m:t>
                  </m:r>
                  <m:r>
                    <m:rPr>
                      <m:sty m:val="p"/>
                    </m:rPr>
                    <m:t>(</m:t>
                  </m:r>
                  <m:sSubSup>
                    <m:e>
                      <m:r>
                        <m:t>X</m:t>
                      </m:r>
                    </m:e>
                    <m:sub>
                      <m:r>
                        <m:t>t</m:t>
                      </m:r>
                    </m:sub>
                    <m:sup>
                      <m:r>
                        <m:t>S</m:t>
                      </m:r>
                    </m:sup>
                  </m:sSubSup>
                  <m:r>
                    <m:rPr>
                      <m:sty m:val="p"/>
                    </m:rPr>
                    <m:t>=</m:t>
                  </m:r>
                  <m:sSup>
                    <m:e>
                      <m:r>
                        <m:t>x</m:t>
                      </m:r>
                    </m:e>
                    <m:sup>
                      <m:r>
                        <m:rPr>
                          <m:sty m:val="p"/>
                        </m:rPr>
                        <m:t>′</m:t>
                      </m:r>
                    </m:sup>
                  </m:sSup>
                  <m:r>
                    <m:rPr>
                      <m:sty m:val="p"/>
                    </m:rPr>
                    <m:t>)</m:t>
                  </m:r>
                  <m:r>
                    <m:rPr>
                      <m:sty m:val="p"/>
                    </m:rPr>
                    <m:t>,</m:t>
                  </m:r>
                  <m:r>
                    <m:t>d</m:t>
                  </m:r>
                  <m:r>
                    <m:t>o</m:t>
                  </m:r>
                  <m:r>
                    <m:rPr>
                      <m:sty m:val="p"/>
                    </m:rPr>
                    <m:t>(</m:t>
                  </m:r>
                  <m:sSubSup>
                    <m:e>
                      <m:r>
                        <m:t>X</m:t>
                      </m:r>
                    </m:e>
                    <m:sub>
                      <m:r>
                        <m:t>t</m:t>
                      </m:r>
                    </m:sub>
                    <m:sup>
                      <m:acc>
                        <m:accPr>
                          <m:chr m:val="‾"/>
                        </m:accPr>
                        <m:e>
                          <m:r>
                            <m:t>S</m:t>
                          </m:r>
                        </m:e>
                      </m:acc>
                    </m:sup>
                  </m:sSubSup>
                  <m:r>
                    <m:rPr>
                      <m:sty m:val="p"/>
                    </m:rPr>
                    <m:t>=</m:t>
                  </m:r>
                  <m:r>
                    <m:t>e</m:t>
                  </m:r>
                  <m:r>
                    <m:rPr>
                      <m:sty m:val="p"/>
                    </m:rPr>
                    <m:t>)</m:t>
                  </m:r>
                  <m:r>
                    <m:rPr>
                      <m:sty m:val="p"/>
                    </m:rPr>
                    <m:t>)</m:t>
                  </m:r>
                </m:e>
              </m:d>
            </m:e>
          </m:d>
          <m:r>
            <m:rPr>
              <m:sty m:val="p"/>
            </m:rPr>
            <m:t>.</m:t>
          </m:r>
        </m:oMath>
      </m:oMathPara>
    </w:p>
    <w:p>
      <w:pPr>
        <w:pStyle w:val="FirstParagraph"/>
      </w:pPr>
      <w:r>
        <w:rPr>
          <w:b/>
          <w:bCs/>
        </w:rPr>
        <w:t xml:space="preserve">Plain-language reading.</w:t>
      </w:r>
      <w:r>
        <w:t xml:space="preserve"> </w:t>
      </w:r>
      <w:r>
        <w:t xml:space="preserve">Hold the modeled environment fixed within an admissible range, change the candidate’s own state, and ask how much its subsequent trajectory changes. A candidate must make a nontrivial difference to its own future.</w:t>
      </w:r>
    </w:p>
    <w:p>
      <w:pPr>
        <w:pStyle w:val="BodyText"/>
      </w:pPr>
      <w:r>
        <w:rPr>
          <w:b/>
          <w:bCs/>
        </w:rPr>
        <w:t xml:space="preserve">Why this term is required.</w:t>
      </w:r>
      <w:r>
        <w:t xml:space="preserve"> </w:t>
      </w:r>
      <w:r>
        <w:t xml:space="preserve">A disconnected or inert set can appear independent of its environment simply because nothing affects it. Requiring</w:t>
      </w:r>
      <w:r>
        <w:t xml:space="preserve"> </w:t>
      </w:r>
      <m:oMath>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r>
          <m:t>σ</m:t>
        </m:r>
      </m:oMath>
      <w:r>
        <w:t xml:space="preserve"> </w:t>
      </w:r>
      <w:r>
        <w:t xml:space="preserve">blocks autonomy by deadness.</w:t>
      </w:r>
    </w:p>
    <w:p>
      <w:pPr>
        <w:pStyle w:val="BodyText"/>
      </w:pPr>
      <w:r>
        <w:rPr>
          <w:b/>
          <w:bCs/>
        </w:rPr>
        <w:t xml:space="preserve">Empirical implementation.</w:t>
      </w:r>
      <w:r>
        <w:t xml:space="preserve"> </w:t>
      </w:r>
      <w:r>
        <w:t xml:space="preserve">The interventions may be direct perturbations, natural experiments, stimulation, lesions, service ablations, controlled input changes, or model-based interventions. The distance</w:t>
      </w:r>
      <w:r>
        <w:t xml:space="preserve"> </w:t>
      </w:r>
      <m:oMath>
        <m:r>
          <m:t>d</m:t>
        </m:r>
      </m:oMath>
      <w:r>
        <w:t xml:space="preserve"> </w:t>
      </w:r>
      <w:r>
        <w:t xml:space="preserve">may compare transition kernels, forecast distributions, state-space trajectories, or role-relevant dynamical features. No single estimator is mandated across substrates.</w:t>
      </w:r>
    </w:p>
    <w:bookmarkEnd w:id="26"/>
    <w:bookmarkStart w:id="27" w:name="external-dependence"/>
    <w:p>
      <w:pPr>
        <w:pStyle w:val="Heading3"/>
      </w:pPr>
      <w:r>
        <w:t xml:space="preserve">4.3 External dependence</w:t>
      </w:r>
    </w:p>
    <w:p>
      <w:pPr>
        <w:pStyle w:val="FirstParagraph"/>
      </w:pPr>
      <w:r>
        <w:t xml:space="preserve">Define inbound external dependence as</w:t>
      </w:r>
    </w:p>
    <w:p>
      <w:pPr>
        <w:pStyle w:val="BodyText"/>
      </w:pPr>
      <m:oMathPara>
        <m:oMathParaPr>
          <m:jc m:val="center"/>
        </m:oMathParaPr>
        <m:oMath>
          <m:sSub>
            <m:e>
              <m:r>
                <m:t>J</m:t>
              </m:r>
            </m:e>
            <m:sub>
              <m:r>
                <m:rPr>
                  <m:sty m:val="p"/>
                </m:rPr>
                <m:t>i</m:t>
              </m:r>
              <m:r>
                <m:rPr>
                  <m:sty m:val="p"/>
                </m:rPr>
                <m:t>n</m:t>
              </m:r>
            </m:sub>
          </m:sSub>
          <m:r>
            <m:rPr>
              <m:sty m:val="p"/>
            </m:rPr>
            <m:t>(</m:t>
          </m:r>
          <m:r>
            <m:t>S</m:t>
          </m:r>
          <m:r>
            <m:rPr>
              <m:sty m:val="p"/>
            </m:rPr>
            <m:t>)</m:t>
          </m:r>
          <m:r>
            <m:rPr>
              <m:sty m:val="p"/>
            </m:rPr>
            <m:t>=</m:t>
          </m:r>
          <m:sSub>
            <m:e>
              <m:r>
                <m:rPr>
                  <m:scr m:val="double-struck"/>
                  <m:sty m:val="p"/>
                </m:rPr>
                <m:t>E</m:t>
              </m:r>
            </m:e>
            <m:sub>
              <m:r>
                <m:t>x</m:t>
              </m:r>
              <m:r>
                <m:rPr>
                  <m:sty m:val="p"/>
                </m:rPr>
                <m:t>,</m:t>
              </m:r>
              <m:r>
                <m:t>e</m:t>
              </m:r>
              <m:r>
                <m:rPr>
                  <m:sty m:val="p"/>
                </m:rPr>
                <m:t>,</m:t>
              </m:r>
              <m:sSup>
                <m:e>
                  <m:r>
                    <m:t>e</m:t>
                  </m:r>
                </m:e>
                <m:sup>
                  <m:r>
                    <m:rPr>
                      <m:sty m:val="p"/>
                    </m:rPr>
                    <m:t>′</m:t>
                  </m:r>
                </m:sup>
              </m:sSup>
            </m:sub>
          </m:sSub>
          <m:d>
            <m:dPr>
              <m:begChr m:val="["/>
              <m:sepChr m:val=""/>
              <m:endChr m:val="]"/>
              <m:grow/>
            </m:dPr>
            <m:e>
              <m:r>
                <m:t>d</m:t>
              </m:r>
              <m:r>
                <m:t>​</m:t>
              </m:r>
              <m:d>
                <m:dPr>
                  <m:begChr m:val="("/>
                  <m:sepChr m:val=""/>
                  <m:endChr m:val=")"/>
                  <m:grow/>
                </m:dPr>
                <m:e>
                  <m:r>
                    <m:t>P</m:t>
                  </m:r>
                  <m:r>
                    <m:rPr>
                      <m:sty m:val="p"/>
                    </m:rPr>
                    <m:t>(</m:t>
                  </m:r>
                  <m:sSubSup>
                    <m:e>
                      <m:r>
                        <m:t>X</m:t>
                      </m:r>
                    </m:e>
                    <m:sub>
                      <m:r>
                        <m:t>t</m:t>
                      </m:r>
                      <m:r>
                        <m:rPr>
                          <m:sty m:val="p"/>
                        </m:rPr>
                        <m:t>:</m:t>
                      </m:r>
                      <m:r>
                        <m:t>t</m:t>
                      </m:r>
                      <m:r>
                        <m:rPr>
                          <m:sty m:val="p"/>
                        </m:rPr>
                        <m:t>+</m:t>
                      </m:r>
                      <m:r>
                        <m:rPr>
                          <m:sty m:val="p"/>
                        </m:rPr>
                        <m:t>Δ</m:t>
                      </m:r>
                    </m:sub>
                    <m:sup>
                      <m:r>
                        <m:t>S</m:t>
                      </m:r>
                    </m:sup>
                  </m:sSubSup>
                  <m:r>
                    <m:rPr>
                      <m:sty m:val="p"/>
                    </m:rPr>
                    <m:t>∣</m:t>
                  </m:r>
                  <m:r>
                    <m:t>d</m:t>
                  </m:r>
                  <m:r>
                    <m:t>o</m:t>
                  </m:r>
                  <m:r>
                    <m:rPr>
                      <m:sty m:val="p"/>
                    </m:rPr>
                    <m:t>(</m:t>
                  </m:r>
                  <m:sSubSup>
                    <m:e>
                      <m:r>
                        <m:t>X</m:t>
                      </m:r>
                    </m:e>
                    <m:sub>
                      <m:r>
                        <m:t>t</m:t>
                      </m:r>
                    </m:sub>
                    <m:sup>
                      <m:r>
                        <m:t>S</m:t>
                      </m:r>
                    </m:sup>
                  </m:sSubSup>
                  <m:r>
                    <m:rPr>
                      <m:sty m:val="p"/>
                    </m:rPr>
                    <m:t>=</m:t>
                  </m:r>
                  <m:r>
                    <m:t>x</m:t>
                  </m:r>
                  <m:r>
                    <m:rPr>
                      <m:sty m:val="p"/>
                    </m:rPr>
                    <m:t>)</m:t>
                  </m:r>
                  <m:r>
                    <m:rPr>
                      <m:sty m:val="p"/>
                    </m:rPr>
                    <m:t>,</m:t>
                  </m:r>
                  <m:r>
                    <m:t>d</m:t>
                  </m:r>
                  <m:r>
                    <m:t>o</m:t>
                  </m:r>
                  <m:r>
                    <m:rPr>
                      <m:sty m:val="p"/>
                    </m:rPr>
                    <m:t>(</m:t>
                  </m:r>
                  <m:sSubSup>
                    <m:e>
                      <m:r>
                        <m:t>X</m:t>
                      </m:r>
                    </m:e>
                    <m:sub>
                      <m:r>
                        <m:t>t</m:t>
                      </m:r>
                    </m:sub>
                    <m:sup>
                      <m:acc>
                        <m:accPr>
                          <m:chr m:val="‾"/>
                        </m:accPr>
                        <m:e>
                          <m:r>
                            <m:t>S</m:t>
                          </m:r>
                        </m:e>
                      </m:acc>
                    </m:sup>
                  </m:sSubSup>
                  <m:r>
                    <m:rPr>
                      <m:sty m:val="p"/>
                    </m:rPr>
                    <m:t>=</m:t>
                  </m:r>
                  <m:r>
                    <m:t>e</m:t>
                  </m:r>
                  <m:r>
                    <m:rPr>
                      <m:sty m:val="p"/>
                    </m:rPr>
                    <m:t>)</m:t>
                  </m:r>
                  <m:r>
                    <m:rPr>
                      <m:sty m:val="p"/>
                    </m:rPr>
                    <m:t>)</m:t>
                  </m:r>
                  <m:r>
                    <m:rPr>
                      <m:sty m:val="p"/>
                    </m:rPr>
                    <m:t>,</m:t>
                  </m:r>
                  <m:r>
                    <m:t>P</m:t>
                  </m:r>
                  <m:r>
                    <m:rPr>
                      <m:sty m:val="p"/>
                    </m:rPr>
                    <m:t>(</m:t>
                  </m:r>
                  <m:sSubSup>
                    <m:e>
                      <m:r>
                        <m:t>X</m:t>
                      </m:r>
                    </m:e>
                    <m:sub>
                      <m:r>
                        <m:t>t</m:t>
                      </m:r>
                      <m:r>
                        <m:rPr>
                          <m:sty m:val="p"/>
                        </m:rPr>
                        <m:t>:</m:t>
                      </m:r>
                      <m:r>
                        <m:t>t</m:t>
                      </m:r>
                      <m:r>
                        <m:rPr>
                          <m:sty m:val="p"/>
                        </m:rPr>
                        <m:t>+</m:t>
                      </m:r>
                      <m:r>
                        <m:rPr>
                          <m:sty m:val="p"/>
                        </m:rPr>
                        <m:t>Δ</m:t>
                      </m:r>
                    </m:sub>
                    <m:sup>
                      <m:r>
                        <m:t>S</m:t>
                      </m:r>
                    </m:sup>
                  </m:sSubSup>
                  <m:r>
                    <m:rPr>
                      <m:sty m:val="p"/>
                    </m:rPr>
                    <m:t>∣</m:t>
                  </m:r>
                  <m:r>
                    <m:t>d</m:t>
                  </m:r>
                  <m:r>
                    <m:t>o</m:t>
                  </m:r>
                  <m:r>
                    <m:rPr>
                      <m:sty m:val="p"/>
                    </m:rPr>
                    <m:t>(</m:t>
                  </m:r>
                  <m:sSubSup>
                    <m:e>
                      <m:r>
                        <m:t>X</m:t>
                      </m:r>
                    </m:e>
                    <m:sub>
                      <m:r>
                        <m:t>t</m:t>
                      </m:r>
                    </m:sub>
                    <m:sup>
                      <m:r>
                        <m:t>S</m:t>
                      </m:r>
                    </m:sup>
                  </m:sSubSup>
                  <m:r>
                    <m:rPr>
                      <m:sty m:val="p"/>
                    </m:rPr>
                    <m:t>=</m:t>
                  </m:r>
                  <m:r>
                    <m:t>x</m:t>
                  </m:r>
                  <m:r>
                    <m:rPr>
                      <m:sty m:val="p"/>
                    </m:rPr>
                    <m:t>)</m:t>
                  </m:r>
                  <m:r>
                    <m:rPr>
                      <m:sty m:val="p"/>
                    </m:rPr>
                    <m:t>,</m:t>
                  </m:r>
                  <m:r>
                    <m:t>d</m:t>
                  </m:r>
                  <m:r>
                    <m:t>o</m:t>
                  </m:r>
                  <m:r>
                    <m:rPr>
                      <m:sty m:val="p"/>
                    </m:rPr>
                    <m:t>(</m:t>
                  </m:r>
                  <m:sSubSup>
                    <m:e>
                      <m:r>
                        <m:t>X</m:t>
                      </m:r>
                    </m:e>
                    <m:sub>
                      <m:r>
                        <m:t>t</m:t>
                      </m:r>
                    </m:sub>
                    <m:sup>
                      <m:acc>
                        <m:accPr>
                          <m:chr m:val="‾"/>
                        </m:accPr>
                        <m:e>
                          <m:r>
                            <m:t>S</m:t>
                          </m:r>
                        </m:e>
                      </m:acc>
                    </m:sup>
                  </m:sSubSup>
                  <m:r>
                    <m:rPr>
                      <m:sty m:val="p"/>
                    </m:rPr>
                    <m:t>=</m:t>
                  </m:r>
                  <m:sSup>
                    <m:e>
                      <m:r>
                        <m:t>e</m:t>
                      </m:r>
                    </m:e>
                    <m:sup>
                      <m:r>
                        <m:rPr>
                          <m:sty m:val="p"/>
                        </m:rPr>
                        <m:t>′</m:t>
                      </m:r>
                    </m:sup>
                  </m:sSup>
                  <m:r>
                    <m:rPr>
                      <m:sty m:val="p"/>
                    </m:rPr>
                    <m:t>)</m:t>
                  </m:r>
                  <m:r>
                    <m:rPr>
                      <m:sty m:val="p"/>
                    </m:rPr>
                    <m:t>)</m:t>
                  </m:r>
                </m:e>
              </m:d>
            </m:e>
          </m:d>
          <m:r>
            <m:rPr>
              <m:sty m:val="p"/>
            </m:rPr>
            <m:t>.</m:t>
          </m:r>
        </m:oMath>
      </m:oMathPara>
    </w:p>
    <w:p>
      <w:pPr>
        <w:pStyle w:val="FirstParagraph"/>
      </w:pPr>
      <w:r>
        <w:rPr>
          <w:b/>
          <w:bCs/>
        </w:rPr>
        <w:t xml:space="preserve">Plain-language reading.</w:t>
      </w:r>
      <w:r>
        <w:t xml:space="preserve"> </w:t>
      </w:r>
      <w:r>
        <w:t xml:space="preserve">Hold the candidate’s own initial state fixed, vary relevant external states, and ask how strongly the candidate’s future organization is imposed from outside.</w:t>
      </w:r>
    </w:p>
    <w:p>
      <w:pPr>
        <w:pStyle w:val="BodyText"/>
      </w:pPr>
      <w:r>
        <w:t xml:space="preserve">This term should be estimated over the declared operating regime, not over physically impossible interventions. A nervous system may respond strongly to a visual stimulus without ceasing to be autonomous. The relevant question is whether its</w:t>
      </w:r>
      <w:r>
        <w:t xml:space="preserve"> </w:t>
      </w:r>
      <w:r>
        <w:rPr>
          <w:i/>
          <w:iCs/>
        </w:rPr>
        <w:t xml:space="preserve">organizational trajectory</w:t>
      </w:r>
      <w:r>
        <w:t xml:space="preserve"> </w:t>
      </w:r>
      <w:r>
        <w:t xml:space="preserve">is externally driven, not whether its contents are sensitive to input.</w:t>
      </w:r>
    </w:p>
    <w:bookmarkEnd w:id="27"/>
    <w:bookmarkStart w:id="28" w:name="sufficient-dynamical-autonomy"/>
    <w:p>
      <w:pPr>
        <w:pStyle w:val="Heading3"/>
      </w:pPr>
      <w:r>
        <w:t xml:space="preserve">4.4 Sufficient dynamical autonomy</w:t>
      </w:r>
    </w:p>
    <w:p>
      <w:pPr>
        <w:pStyle w:val="FirstParagraph"/>
      </w:pPr>
      <w:r>
        <w:t xml:space="preserve">Define the autonomy ratio</w:t>
      </w:r>
    </w:p>
    <w:p>
      <w:pPr>
        <w:pStyle w:val="BodyText"/>
      </w:pPr>
      <m:oMathPara>
        <m:oMathParaPr>
          <m:jc m:val="center"/>
        </m:oMathParaPr>
        <m:oMath>
          <m:sSub>
            <m:e>
              <m:r>
                <m:t>A</m:t>
              </m:r>
            </m:e>
            <m:sub>
              <m:r>
                <m:rPr>
                  <m:sty m:val="p"/>
                </m:rPr>
                <m:t>Θ</m:t>
              </m:r>
            </m:sub>
          </m:sSub>
          <m:r>
            <m:rPr>
              <m:sty m:val="p"/>
            </m:rPr>
            <m:t>(</m:t>
          </m:r>
          <m:r>
            <m:t>S</m:t>
          </m:r>
          <m:r>
            <m:rPr>
              <m:sty m:val="p"/>
            </m:rPr>
            <m:t>)</m:t>
          </m:r>
          <m:r>
            <m:rPr>
              <m:sty m:val="p"/>
            </m:rPr>
            <m:t>=</m:t>
          </m:r>
          <m:f>
            <m:fPr>
              <m:type m:val="bar"/>
            </m:fPr>
            <m:num>
              <m:sSub>
                <m:e>
                  <m:r>
                    <m:t>J</m:t>
                  </m:r>
                </m:e>
                <m:sub>
                  <m:r>
                    <m:rPr>
                      <m:sty m:val="p"/>
                    </m:rPr>
                    <m:t>s</m:t>
                  </m:r>
                  <m:r>
                    <m:rPr>
                      <m:sty m:val="p"/>
                    </m:rPr>
                    <m:t>e</m:t>
                  </m:r>
                  <m:r>
                    <m:rPr>
                      <m:sty m:val="p"/>
                    </m:rPr>
                    <m:t>l</m:t>
                  </m:r>
                  <m:r>
                    <m:rPr>
                      <m:sty m:val="p"/>
                    </m:rPr>
                    <m:t>f</m:t>
                  </m:r>
                </m:sub>
              </m:sSub>
              <m:r>
                <m:rPr>
                  <m:sty m:val="p"/>
                </m:rPr>
                <m:t>(</m:t>
              </m:r>
              <m:r>
                <m:t>S</m:t>
              </m:r>
              <m:r>
                <m:rPr>
                  <m:sty m:val="p"/>
                </m:rPr>
                <m:t>)</m:t>
              </m:r>
            </m:num>
            <m:den>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sSub>
                <m:e>
                  <m:r>
                    <m:t>J</m:t>
                  </m:r>
                </m:e>
                <m:sub>
                  <m:r>
                    <m:rPr>
                      <m:sty m:val="p"/>
                    </m:rPr>
                    <m:t>i</m:t>
                  </m:r>
                  <m:r>
                    <m:rPr>
                      <m:sty m:val="p"/>
                    </m:rPr>
                    <m:t>n</m:t>
                  </m:r>
                </m:sub>
              </m:sSub>
              <m:r>
                <m:rPr>
                  <m:sty m:val="p"/>
                </m:rPr>
                <m:t>(</m:t>
              </m:r>
              <m:r>
                <m:t>S</m:t>
              </m:r>
              <m:r>
                <m:rPr>
                  <m:sty m:val="p"/>
                </m:rPr>
                <m:t>)</m:t>
              </m:r>
              <m:r>
                <m:rPr>
                  <m:sty m:val="p"/>
                </m:rPr>
                <m:t>+</m:t>
              </m:r>
              <m:r>
                <m:t>ε</m:t>
              </m:r>
            </m:den>
          </m:f>
          <m:r>
            <m:rPr>
              <m:sty m:val="p"/>
            </m:rPr>
            <m:t>,</m:t>
          </m:r>
        </m:oMath>
      </m:oMathPara>
    </w:p>
    <w:p>
      <w:pPr>
        <w:pStyle w:val="FirstParagraph"/>
      </w:pPr>
      <w:r>
        <w:t xml:space="preserve">where</w:t>
      </w:r>
      <w:r>
        <w:t xml:space="preserve"> </w:t>
      </w:r>
      <m:oMath>
        <m:r>
          <m:t>ε</m:t>
        </m:r>
        <m:r>
          <m:rPr>
            <m:sty m:val="p"/>
          </m:rPr>
          <m:t>&gt;</m:t>
        </m:r>
        <m:r>
          <m:t>0</m:t>
        </m:r>
      </m:oMath>
      <w:r>
        <w:t xml:space="preserve"> </w:t>
      </w:r>
      <w:r>
        <w:t xml:space="preserve">prevents division by zero. A candidate is causally admissible when</w:t>
      </w:r>
    </w:p>
    <w:p>
      <w:pPr>
        <w:pStyle w:val="BodyText"/>
      </w:pPr>
      <m:oMathPara>
        <m:oMathParaPr>
          <m:jc m:val="center"/>
        </m:oMathParaPr>
        <m:oMath>
          <m:sSub>
            <m:e>
              <m:r>
                <m:t>A</m:t>
              </m:r>
            </m:e>
            <m:sub>
              <m:r>
                <m:rPr>
                  <m:sty m:val="p"/>
                </m:rPr>
                <m:t>Θ</m:t>
              </m:r>
            </m:sub>
          </m:sSub>
          <m:r>
            <m:rPr>
              <m:sty m:val="p"/>
            </m:rPr>
            <m:t>(</m:t>
          </m:r>
          <m:r>
            <m:t>S</m:t>
          </m:r>
          <m:r>
            <m:rPr>
              <m:sty m:val="p"/>
            </m:rPr>
            <m:t>)</m:t>
          </m:r>
          <m:r>
            <m:rPr>
              <m:sty m:val="p"/>
            </m:rPr>
            <m:t>≥</m:t>
          </m:r>
          <m:r>
            <m:t>α</m:t>
          </m:r>
          <m:r>
            <m:t> </m:t>
          </m:r>
          <m:r>
            <m:rPr>
              <m:nor/>
              <m:sty m:val="p"/>
            </m:rPr>
            <m:t>and</m:t>
          </m:r>
          <m:r>
            <m:t> </m:t>
          </m:r>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r>
            <m:t>σ</m:t>
          </m:r>
          <m:r>
            <m:rPr>
              <m:sty m:val="p"/>
            </m:rPr>
            <m:t>.</m:t>
          </m:r>
        </m:oMath>
      </m:oMathPara>
    </w:p>
    <w:p>
      <w:pPr>
        <w:pStyle w:val="FirstParagraph"/>
      </w:pPr>
      <w:r>
        <w:rPr>
          <w:b/>
          <w:bCs/>
        </w:rPr>
        <w:t xml:space="preserve">Plain-language reading.</w:t>
      </w:r>
      <w:r>
        <w:t xml:space="preserve"> </w:t>
      </w:r>
      <w:r>
        <w:t xml:space="preserve">The system’s own organization must explain enough of what it does next, and this self-determination must be substantial rather than a ratio created by two negligible effects.</w:t>
      </w:r>
    </w:p>
    <w:p>
      <w:pPr>
        <w:pStyle w:val="BodyText"/>
      </w:pPr>
      <w:r>
        <w:rPr>
          <w:b/>
          <w:bCs/>
        </w:rPr>
        <w:t xml:space="preserve">Strict closure as a limiting case.</w:t>
      </w:r>
      <w:r>
        <w:t xml:space="preserve"> </w:t>
      </w:r>
      <w:r>
        <w:t xml:space="preserve">If</w:t>
      </w:r>
      <w:r>
        <w:t xml:space="preserve"> </w:t>
      </w:r>
      <m:oMath>
        <m:sSub>
          <m:e>
            <m:r>
              <m:t>J</m:t>
            </m:r>
          </m:e>
          <m:sub>
            <m:r>
              <m:rPr>
                <m:sty m:val="p"/>
              </m:rPr>
              <m:t>i</m:t>
            </m:r>
            <m:r>
              <m:rPr>
                <m:sty m:val="p"/>
              </m:rPr>
              <m:t>n</m:t>
            </m:r>
          </m:sub>
        </m:sSub>
        <m:r>
          <m:rPr>
            <m:sty m:val="p"/>
          </m:rPr>
          <m:t>(</m:t>
        </m:r>
        <m:r>
          <m:t>S</m:t>
        </m:r>
        <m:r>
          <m:rPr>
            <m:sty m:val="p"/>
          </m:rPr>
          <m:t>)</m:t>
        </m:r>
        <m:r>
          <m:rPr>
            <m:sty m:val="p"/>
          </m:rPr>
          <m:t>=</m:t>
        </m:r>
        <m:r>
          <m:t>0</m:t>
        </m:r>
      </m:oMath>
      <w:r>
        <w:t xml:space="preserve"> </w:t>
      </w:r>
      <w:r>
        <w:t xml:space="preserve">over</w:t>
      </w:r>
      <w:r>
        <w:t xml:space="preserve"> </w:t>
      </w:r>
      <m:oMath>
        <m:r>
          <m:rPr>
            <m:scr m:val="script"/>
            <m:sty m:val="p"/>
          </m:rPr>
          <m:t>I</m:t>
        </m:r>
      </m:oMath>
      <w:r>
        <w:t xml:space="preserve">, then</w:t>
      </w:r>
      <w:r>
        <w:t xml:space="preserve"> </w:t>
      </w:r>
      <m:oMath>
        <m:r>
          <m:t>S</m:t>
        </m:r>
      </m:oMath>
      <w:r>
        <w:t xml:space="preserve"> </w:t>
      </w:r>
      <w:r>
        <w:t xml:space="preserve">is interventionally closed at the chosen grain and horizon. Most real candidates will not satisfy this ideal. The threshold</w:t>
      </w:r>
      <w:r>
        <w:t xml:space="preserve"> </w:t>
      </w:r>
      <m:oMath>
        <m:r>
          <m:t>α</m:t>
        </m:r>
      </m:oMath>
      <w:r>
        <w:t xml:space="preserve"> </w:t>
      </w:r>
      <w:r>
        <w:t xml:space="preserve">represents sufficient autonomy, not metaphysical separation.</w:t>
      </w:r>
    </w:p>
    <w:p>
      <w:pPr>
        <w:pStyle w:val="BodyText"/>
      </w:pPr>
      <w:r>
        <w:rPr>
          <w:b/>
          <w:bCs/>
        </w:rPr>
        <w:t xml:space="preserve">What the ratio does not mean.</w:t>
      </w:r>
      <w:r>
        <w:t xml:space="preserve"> </w:t>
      </w:r>
      <m:oMath>
        <m:sSub>
          <m:e>
            <m:r>
              <m:t>A</m:t>
            </m:r>
          </m:e>
          <m:sub>
            <m:r>
              <m:rPr>
                <m:sty m:val="p"/>
              </m:rPr>
              <m:t>Θ</m:t>
            </m:r>
          </m:sub>
        </m:sSub>
      </m:oMath>
      <w:r>
        <w:t xml:space="preserve"> </w:t>
      </w:r>
      <w:r>
        <w:t xml:space="preserve">is not a consciousness score. High autonomy can occur in nonconscious systems. It only determines whether</w:t>
      </w:r>
      <w:r>
        <w:t xml:space="preserve"> </w:t>
      </w:r>
      <m:oMath>
        <m:r>
          <m:t>S</m:t>
        </m:r>
      </m:oMath>
      <w:r>
        <w:t xml:space="preserve"> </w:t>
      </w:r>
      <w:r>
        <w:t xml:space="preserve">is eligible to be tested as a candidate bearer.</w:t>
      </w:r>
    </w:p>
    <w:p>
      <w:pPr>
        <w:pStyle w:val="BodyText"/>
      </w:pPr>
      <w:r>
        <w:rPr>
          <w:b/>
          <w:bCs/>
        </w:rPr>
        <w:t xml:space="preserve">Why outbound influence is not in the denominator.</w:t>
      </w:r>
      <w:r>
        <w:t xml:space="preserve"> </w:t>
      </w:r>
      <w:r>
        <w:t xml:space="preserve">An autonomous system can act strongly on its environment. Penalizing outbound causal effect would make effective agents appear less autonomous precisely because their actions matter. The ratio therefore contrasts endogenous determination with inbound imposition. Outbound influence is measured separately when identifying interfaces and testing whether two candidates are dynamically separable.</w:t>
      </w:r>
    </w:p>
    <w:p>
      <w:pPr>
        <w:pStyle w:val="BodyText"/>
      </w:pPr>
      <w:r>
        <w:rPr>
          <w:b/>
          <w:bCs/>
        </w:rPr>
        <w:t xml:space="preserve">Comparability across candidate sizes.</w:t>
      </w:r>
      <w:r>
        <w:t xml:space="preserve"> </w:t>
      </w:r>
      <w:r>
        <w:t xml:space="preserve">Both causal terms can grow with node count, intervention count, or state-space dimension. The distance</w:t>
      </w:r>
      <w:r>
        <w:t xml:space="preserve"> </w:t>
      </w:r>
      <m:oMath>
        <m:r>
          <m:t>d</m:t>
        </m:r>
      </m:oMath>
      <w:r>
        <w:t xml:space="preserve">, intervention sampling, and aggregation rule must therefore be normalized or calibrated so that a larger candidate does not win merely by containing more variables. Acceptable checks include per-variable normalization, matched intervention budgets, null systems with the same dimension, and held-out forecast performance. If rankings reverse across defensible normalizations, the boundary is not robust.</w:t>
      </w:r>
    </w:p>
    <w:bookmarkEnd w:id="28"/>
    <w:bookmarkStart w:id="29" w:name="X40078100f76db8349a00f660c29a94045cddac9"/>
    <w:p>
      <w:pPr>
        <w:pStyle w:val="Heading3"/>
      </w:pPr>
      <w:r>
        <w:t xml:space="preserve">4.5 Candidate generation independent of consciousness measures</w:t>
      </w:r>
    </w:p>
    <w:p>
      <w:pPr>
        <w:pStyle w:val="FirstParagraph"/>
      </w:pPr>
      <w:r>
        <w:t xml:space="preserve">Let</w:t>
      </w:r>
    </w:p>
    <w:p>
      <w:pPr>
        <w:pStyle w:val="BodyText"/>
      </w:pPr>
      <m:oMathPara>
        <m:oMathParaPr>
          <m:jc m:val="center"/>
        </m:oMathParaPr>
        <m:oMath>
          <m:sSub>
            <m:e>
              <m:r>
                <m:rPr>
                  <m:scr m:val="script"/>
                  <m:sty m:val="p"/>
                </m:rPr>
                <m:t>P</m:t>
              </m:r>
            </m:e>
            <m:sub>
              <m:r>
                <m:rPr>
                  <m:sty m:val="p"/>
                </m:rPr>
                <m:t>Θ</m:t>
              </m:r>
            </m:sub>
          </m:sSub>
          <m:r>
            <m:rPr>
              <m:sty m:val="p"/>
            </m:rPr>
            <m:t>=</m:t>
          </m:r>
          <m:d>
            <m:dPr>
              <m:begChr m:val="{"/>
              <m:sepChr m:val=""/>
              <m:endChr m:val="}"/>
              <m:grow/>
            </m:dPr>
            <m:e>
              <m:r>
                <m:t>S</m:t>
              </m:r>
              <m:r>
                <m:rPr>
                  <m:sty m:val="p"/>
                </m:rPr>
                <m:t>⊆</m:t>
              </m:r>
              <m:r>
                <m:rPr>
                  <m:sty m:val="p"/>
                </m:rPr>
                <m:t>Ω</m:t>
              </m:r>
              <m:r>
                <m:rPr>
                  <m:sty m:val="p"/>
                </m:rPr>
                <m:t>:</m:t>
              </m:r>
              <m:sSub>
                <m:e>
                  <m:r>
                    <m:t>A</m:t>
                  </m:r>
                </m:e>
                <m:sub>
                  <m:r>
                    <m:rPr>
                      <m:sty m:val="p"/>
                    </m:rPr>
                    <m:t>Θ</m:t>
                  </m:r>
                </m:sub>
              </m:sSub>
              <m:r>
                <m:rPr>
                  <m:sty m:val="p"/>
                </m:rPr>
                <m:t>(</m:t>
              </m:r>
              <m:r>
                <m:t>S</m:t>
              </m:r>
              <m:r>
                <m:rPr>
                  <m:sty m:val="p"/>
                </m:rPr>
                <m:t>)</m:t>
              </m:r>
              <m:r>
                <m:rPr>
                  <m:sty m:val="p"/>
                </m:rPr>
                <m:t>≥</m:t>
              </m:r>
              <m:r>
                <m:t>α</m:t>
              </m:r>
              <m:r>
                <m:rPr>
                  <m:sty m:val="p"/>
                </m:rPr>
                <m:t>,</m:t>
              </m:r>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r>
                <m:t>σ</m:t>
              </m:r>
              <m:r>
                <m:rPr>
                  <m:sty m:val="p"/>
                </m:rPr>
                <m:t>,</m:t>
              </m:r>
              <m:sSub>
                <m:e>
                  <m:r>
                    <m:rPr>
                      <m:sty m:val="p"/>
                    </m:rPr>
                    <m:t>Robust</m:t>
                  </m:r>
                </m:e>
                <m:sub>
                  <m:r>
                    <m:rPr>
                      <m:sty m:val="p"/>
                    </m:rPr>
                    <m:t>Θ</m:t>
                  </m:r>
                </m:sub>
              </m:sSub>
              <m:r>
                <m:rPr>
                  <m:sty m:val="p"/>
                </m:rPr>
                <m:t>(</m:t>
              </m:r>
              <m:r>
                <m:t>S</m:t>
              </m:r>
              <m:r>
                <m:rPr>
                  <m:sty m:val="p"/>
                </m:rPr>
                <m:t>)</m:t>
              </m:r>
              <m:r>
                <m:rPr>
                  <m:sty m:val="p"/>
                </m:rPr>
                <m:t>≥</m:t>
              </m:r>
              <m:r>
                <m:t>ρ</m:t>
              </m:r>
            </m:e>
          </m:d>
          <m:r>
            <m:rPr>
              <m:sty m:val="p"/>
            </m:rPr>
            <m:t>.</m:t>
          </m:r>
        </m:oMath>
      </m:oMathPara>
    </w:p>
    <w:p>
      <w:pPr>
        <w:pStyle w:val="FirstParagraph"/>
      </w:pPr>
      <m:oMath>
        <m:sSub>
          <m:e>
            <m:r>
              <m:rPr>
                <m:scr m:val="script"/>
                <m:sty m:val="p"/>
              </m:rPr>
              <m:t>P</m:t>
            </m:r>
          </m:e>
          <m:sub>
            <m:r>
              <m:rPr>
                <m:sty m:val="p"/>
              </m:rPr>
              <m:t>Θ</m:t>
            </m:r>
          </m:sub>
        </m:sSub>
      </m:oMath>
      <w:r>
        <w:t xml:space="preserve"> </w:t>
      </w:r>
      <w:r>
        <w:t xml:space="preserve">is the family of causally admissible candidates. It must be generated without using</w:t>
      </w:r>
      <w:r>
        <w:t xml:space="preserve"> </w:t>
      </w:r>
      <m:oMath>
        <m:sSub>
          <m:e>
            <m:r>
              <m:t>C</m:t>
            </m:r>
          </m:e>
          <m:sub>
            <m:r>
              <m:t>0</m:t>
            </m:r>
          </m:sub>
        </m:sSub>
      </m:oMath>
      <w:r>
        <w:t xml:space="preserve"> </w:t>
      </w:r>
      <w:r>
        <w:t xml:space="preserve">labels or the final</w:t>
      </w:r>
      <w:r>
        <w:t xml:space="preserve"> </w:t>
      </w:r>
      <m:oMath>
        <m:sSup>
          <m:e>
            <m:r>
              <m:t>N</m:t>
            </m:r>
          </m:e>
          <m:sup>
            <m:r>
              <m:rPr>
                <m:sty m:val="p"/>
              </m:rPr>
              <m:t>*</m:t>
            </m:r>
          </m:sup>
        </m:sSup>
      </m:oMath>
      <w:r>
        <w:t xml:space="preserve"> </w:t>
      </w:r>
      <w:r>
        <w:t xml:space="preserve">score.</w:t>
      </w:r>
    </w:p>
    <w:p>
      <w:pPr>
        <w:pStyle w:val="BodyText"/>
      </w:pPr>
      <w:r>
        <w:t xml:space="preserve">In realistic systems exhaustive search over all</w:t>
      </w:r>
      <w:r>
        <w:t xml:space="preserve"> </w:t>
      </w:r>
      <m:oMath>
        <m:sSup>
          <m:e>
            <m:r>
              <m:t>2</m:t>
            </m:r>
          </m:e>
          <m:sup>
            <m:r>
              <m:rPr>
                <m:sty m:val="p"/>
              </m:rPr>
              <m:t>|</m:t>
            </m:r>
            <m:r>
              <m:rPr>
                <m:sty m:val="p"/>
              </m:rPr>
              <m:t>Ω</m:t>
            </m:r>
            <m:r>
              <m:rPr>
                <m:sty m:val="p"/>
              </m:rPr>
              <m:t>|</m:t>
            </m:r>
          </m:sup>
        </m:sSup>
      </m:oMath>
      <w:r>
        <w:t xml:space="preserve"> </w:t>
      </w:r>
      <w:r>
        <w:t xml:space="preserve">subsets is impossible. Candidate generation can use preregistered causal community detection, Markov-blanket proposals, spectral partitions of effective connectivity, intervention-based clustering, or hierarchical coarse-graining. These procedures propose candidates; they do not certify them. Each proposed candidate must still pass the autonomy, capacity, and robustness tests.</w:t>
      </w:r>
    </w:p>
    <w:bookmarkEnd w:id="29"/>
    <w:bookmarkStart w:id="30" w:name="role-completeness"/>
    <w:p>
      <w:pPr>
        <w:pStyle w:val="Heading3"/>
      </w:pPr>
      <w:r>
        <w:t xml:space="preserve">4.6 Role completeness</w:t>
      </w:r>
    </w:p>
    <w:p>
      <w:pPr>
        <w:pStyle w:val="FirstParagraph"/>
      </w:pPr>
      <w:r>
        <w:t xml:space="preserve">For each</w:t>
      </w:r>
      <w:r>
        <w:t xml:space="preserve"> </w:t>
      </w:r>
      <m:oMath>
        <m:r>
          <m:t>S</m:t>
        </m:r>
        <m:r>
          <m:rPr>
            <m:sty m:val="p"/>
          </m:rPr>
          <m:t>∈</m:t>
        </m:r>
        <m:sSub>
          <m:e>
            <m:r>
              <m:rPr>
                <m:scr m:val="script"/>
                <m:sty m:val="p"/>
              </m:rPr>
              <m:t>P</m:t>
            </m:r>
          </m:e>
          <m:sub>
            <m:r>
              <m:rPr>
                <m:sty m:val="p"/>
              </m:rPr>
              <m:t>Θ</m:t>
            </m:r>
          </m:sub>
        </m:sSub>
      </m:oMath>
      <w:r>
        <w:t xml:space="preserve">, define a role vector</w:t>
      </w:r>
    </w:p>
    <w:p>
      <w:pPr>
        <w:pStyle w:val="BodyText"/>
      </w:pPr>
      <m:oMathPara>
        <m:oMathParaPr>
          <m:jc m:val="center"/>
        </m:oMathParaPr>
        <m:oMath>
          <m:sSub>
            <m:e>
              <m:r>
                <m:rPr>
                  <m:sty m:val="bi"/>
                </m:rPr>
                <m:t>F</m:t>
              </m:r>
            </m:e>
            <m:sub>
              <m:r>
                <m:rPr>
                  <m:sty m:val="p"/>
                </m:rPr>
                <m:t>Θ</m:t>
              </m:r>
            </m:sub>
          </m:sSub>
          <m:r>
            <m:rPr>
              <m:sty m:val="p"/>
            </m:rPr>
            <m:t>(</m:t>
          </m:r>
          <m:r>
            <m:t>S</m:t>
          </m:r>
          <m:r>
            <m:rPr>
              <m:sty m:val="p"/>
            </m:rPr>
            <m:t>)</m:t>
          </m:r>
          <m:r>
            <m:rPr>
              <m:sty m:val="p"/>
            </m:rPr>
            <m:t>=</m:t>
          </m:r>
          <m:r>
            <m:rPr>
              <m:sty m:val="p"/>
            </m:rPr>
            <m:t>⟨</m:t>
          </m:r>
          <m:sSub>
            <m:e>
              <m:r>
                <m:t>F</m:t>
              </m:r>
            </m:e>
            <m:sub>
              <m:r>
                <m:t>I</m:t>
              </m:r>
            </m:sub>
          </m:sSub>
          <m:r>
            <m:rPr>
              <m:sty m:val="p"/>
            </m:rPr>
            <m:t>(</m:t>
          </m:r>
          <m:r>
            <m:t>S</m:t>
          </m:r>
          <m:r>
            <m:rPr>
              <m:sty m:val="p"/>
            </m:rPr>
            <m:t>)</m:t>
          </m:r>
          <m:r>
            <m:rPr>
              <m:sty m:val="p"/>
            </m:rPr>
            <m:t>,</m:t>
          </m:r>
          <m:sSub>
            <m:e>
              <m:r>
                <m:t>F</m:t>
              </m:r>
            </m:e>
            <m:sub>
              <m:r>
                <m:t>A</m:t>
              </m:r>
            </m:sub>
          </m:sSub>
          <m:r>
            <m:rPr>
              <m:sty m:val="p"/>
            </m:rPr>
            <m:t>(</m:t>
          </m:r>
          <m:r>
            <m:t>S</m:t>
          </m:r>
          <m:r>
            <m:rPr>
              <m:sty m:val="p"/>
            </m:rPr>
            <m:t>)</m:t>
          </m:r>
          <m:r>
            <m:rPr>
              <m:sty m:val="p"/>
            </m:rPr>
            <m:t>,</m:t>
          </m:r>
          <m:sSub>
            <m:e>
              <m:r>
                <m:t>F</m:t>
              </m:r>
            </m:e>
            <m:sub>
              <m:r>
                <m:t>R</m:t>
              </m:r>
            </m:sub>
          </m:sSub>
          <m:r>
            <m:rPr>
              <m:sty m:val="p"/>
            </m:rPr>
            <m:t>(</m:t>
          </m:r>
          <m:r>
            <m:t>S</m:t>
          </m:r>
          <m:r>
            <m:rPr>
              <m:sty m:val="p"/>
            </m:rPr>
            <m:t>)</m:t>
          </m:r>
          <m:r>
            <m:rPr>
              <m:sty m:val="p"/>
            </m:rPr>
            <m:t>,</m:t>
          </m:r>
          <m:sSub>
            <m:e>
              <m:r>
                <m:t>F</m:t>
              </m:r>
            </m:e>
            <m:sub>
              <m:r>
                <m:t>V</m:t>
              </m:r>
            </m:sub>
          </m:sSub>
          <m:r>
            <m:rPr>
              <m:sty m:val="p"/>
            </m:rPr>
            <m:t>(</m:t>
          </m:r>
          <m:r>
            <m:t>S</m:t>
          </m:r>
          <m:r>
            <m:rPr>
              <m:sty m:val="p"/>
            </m:rPr>
            <m:t>)</m:t>
          </m:r>
          <m:r>
            <m:rPr>
              <m:sty m:val="p"/>
            </m:rPr>
            <m:t>⟩</m:t>
          </m:r>
          <m:r>
            <m:rPr>
              <m:sty m:val="p"/>
            </m:rPr>
            <m:t>,</m:t>
          </m:r>
        </m:oMath>
      </m:oMathPara>
    </w:p>
    <w:p>
      <w:pPr>
        <w:pStyle w:val="FirstParagraph"/>
      </w:pPr>
      <w:r>
        <w:t xml:space="preserve">where</w:t>
      </w:r>
      <w:r>
        <w:t xml:space="preserve"> </w:t>
      </w:r>
      <m:oMath>
        <m:sSub>
          <m:e>
            <m:r>
              <m:t>F</m:t>
            </m:r>
          </m:e>
          <m:sub>
            <m:r>
              <m:t>I</m:t>
            </m:r>
          </m:sub>
        </m:sSub>
      </m:oMath>
      <w:r>
        <w:t xml:space="preserve"> </w:t>
      </w:r>
      <w:r>
        <w:t xml:space="preserve">estimates integration or synergy,</w:t>
      </w:r>
      <w:r>
        <w:t xml:space="preserve"> </w:t>
      </w:r>
      <m:oMath>
        <m:sSub>
          <m:e>
            <m:r>
              <m:t>F</m:t>
            </m:r>
          </m:e>
          <m:sub>
            <m:r>
              <m:t>A</m:t>
            </m:r>
          </m:sub>
        </m:sSub>
      </m:oMath>
      <w:r>
        <w:t xml:space="preserve"> </w:t>
      </w:r>
      <w:r>
        <w:t xml:space="preserve">estimates availability across the candidate,</w:t>
      </w:r>
      <w:r>
        <w:t xml:space="preserve"> </w:t>
      </w:r>
      <m:oMath>
        <m:sSub>
          <m:e>
            <m:r>
              <m:t>F</m:t>
            </m:r>
          </m:e>
          <m:sub>
            <m:r>
              <m:t>R</m:t>
            </m:r>
          </m:sub>
        </m:sSub>
      </m:oMath>
      <w:r>
        <w:t xml:space="preserve"> </w:t>
      </w:r>
      <w:r>
        <w:t xml:space="preserve">estimates recurrent stability, and</w:t>
      </w:r>
      <w:r>
        <w:t xml:space="preserve"> </w:t>
      </w:r>
      <m:oMath>
        <m:sSub>
          <m:e>
            <m:r>
              <m:t>F</m:t>
            </m:r>
          </m:e>
          <m:sub>
            <m:r>
              <m:t>V</m:t>
            </m:r>
          </m:sub>
        </m:sSub>
      </m:oMath>
      <w:r>
        <w:t xml:space="preserve"> </w:t>
      </w:r>
      <w:r>
        <w:t xml:space="preserve">estimates viability. The theory-specific eligible family is</w:t>
      </w:r>
    </w:p>
    <w:p>
      <w:pPr>
        <w:pStyle w:val="BodyText"/>
      </w:pPr>
      <m:oMathPara>
        <m:oMathParaPr>
          <m:jc m:val="center"/>
        </m:oMathParaPr>
        <m:oMath>
          <m:sSub>
            <m:e>
              <m:r>
                <m:rPr>
                  <m:scr m:val="script"/>
                  <m:sty m:val="p"/>
                </m:rPr>
                <m:t>Q</m:t>
              </m:r>
            </m:e>
            <m:sub>
              <m:r>
                <m:rPr>
                  <m:sty m:val="p"/>
                </m:rPr>
                <m:t>Θ</m:t>
              </m:r>
            </m:sub>
          </m:sSub>
          <m:r>
            <m:rPr>
              <m:sty m:val="p"/>
            </m:rPr>
            <m:t>=</m:t>
          </m:r>
          <m:d>
            <m:dPr>
              <m:begChr m:val="{"/>
              <m:sepChr m:val=""/>
              <m:endChr m:val="}"/>
              <m:grow/>
            </m:dPr>
            <m:e>
              <m:r>
                <m:t>S</m:t>
              </m:r>
              <m:r>
                <m:rPr>
                  <m:sty m:val="p"/>
                </m:rPr>
                <m:t>∈</m:t>
              </m:r>
              <m:sSub>
                <m:e>
                  <m:r>
                    <m:rPr>
                      <m:scr m:val="script"/>
                      <m:sty m:val="p"/>
                    </m:rPr>
                    <m:t>P</m:t>
                  </m:r>
                </m:e>
                <m:sub>
                  <m:r>
                    <m:rPr>
                      <m:sty m:val="p"/>
                    </m:rPr>
                    <m:t>Θ</m:t>
                  </m:r>
                </m:sub>
              </m:sSub>
              <m:r>
                <m:rPr>
                  <m:sty m:val="p"/>
                </m:rPr>
                <m:t>:</m:t>
              </m:r>
              <m:sSub>
                <m:e>
                  <m:r>
                    <m:t>F</m:t>
                  </m:r>
                </m:e>
                <m:sub>
                  <m:r>
                    <m:t>I</m:t>
                  </m:r>
                </m:sub>
              </m:sSub>
              <m:r>
                <m:rPr>
                  <m:sty m:val="p"/>
                </m:rPr>
                <m:t>(</m:t>
              </m:r>
              <m:r>
                <m:t>S</m:t>
              </m:r>
              <m:r>
                <m:rPr>
                  <m:sty m:val="p"/>
                </m:rPr>
                <m:t>)</m:t>
              </m:r>
              <m:r>
                <m:rPr>
                  <m:sty m:val="p"/>
                </m:rPr>
                <m:t>≥</m:t>
              </m:r>
              <m:sSub>
                <m:e>
                  <m:r>
                    <m:t>τ</m:t>
                  </m:r>
                </m:e>
                <m:sub>
                  <m:r>
                    <m:t>1</m:t>
                  </m:r>
                </m:sub>
              </m:sSub>
              <m:r>
                <m:rPr>
                  <m:sty m:val="p"/>
                </m:rPr>
                <m:t>,</m:t>
              </m:r>
              <m:sSub>
                <m:e>
                  <m:r>
                    <m:t>F</m:t>
                  </m:r>
                </m:e>
                <m:sub>
                  <m:r>
                    <m:t>A</m:t>
                  </m:r>
                </m:sub>
              </m:sSub>
              <m:r>
                <m:rPr>
                  <m:sty m:val="p"/>
                </m:rPr>
                <m:t>(</m:t>
              </m:r>
              <m:r>
                <m:t>S</m:t>
              </m:r>
              <m:r>
                <m:rPr>
                  <m:sty m:val="p"/>
                </m:rPr>
                <m:t>)</m:t>
              </m:r>
              <m:r>
                <m:rPr>
                  <m:sty m:val="p"/>
                </m:rPr>
                <m:t>≥</m:t>
              </m:r>
              <m:sSub>
                <m:e>
                  <m:r>
                    <m:t>τ</m:t>
                  </m:r>
                </m:e>
                <m:sub>
                  <m:r>
                    <m:t>2</m:t>
                  </m:r>
                </m:sub>
              </m:sSub>
              <m:r>
                <m:rPr>
                  <m:sty m:val="p"/>
                </m:rPr>
                <m:t>,</m:t>
              </m:r>
              <m:sSub>
                <m:e>
                  <m:r>
                    <m:t>F</m:t>
                  </m:r>
                </m:e>
                <m:sub>
                  <m:r>
                    <m:t>R</m:t>
                  </m:r>
                </m:sub>
              </m:sSub>
              <m:r>
                <m:rPr>
                  <m:sty m:val="p"/>
                </m:rPr>
                <m:t>(</m:t>
              </m:r>
              <m:r>
                <m:t>S</m:t>
              </m:r>
              <m:r>
                <m:rPr>
                  <m:sty m:val="p"/>
                </m:rPr>
                <m:t>)</m:t>
              </m:r>
              <m:r>
                <m:rPr>
                  <m:sty m:val="p"/>
                </m:rPr>
                <m:t>≥</m:t>
              </m:r>
              <m:sSub>
                <m:e>
                  <m:r>
                    <m:t>τ</m:t>
                  </m:r>
                </m:e>
                <m:sub>
                  <m:r>
                    <m:t>3</m:t>
                  </m:r>
                </m:sub>
              </m:sSub>
              <m:r>
                <m:rPr>
                  <m:sty m:val="p"/>
                </m:rPr>
                <m:t>,</m:t>
              </m:r>
              <m:sSub>
                <m:e>
                  <m:r>
                    <m:t>F</m:t>
                  </m:r>
                </m:e>
                <m:sub>
                  <m:r>
                    <m:t>V</m:t>
                  </m:r>
                </m:sub>
              </m:sSub>
              <m:r>
                <m:rPr>
                  <m:sty m:val="p"/>
                </m:rPr>
                <m:t>(</m:t>
              </m:r>
              <m:r>
                <m:t>S</m:t>
              </m:r>
              <m:r>
                <m:rPr>
                  <m:sty m:val="p"/>
                </m:rPr>
                <m:t>)</m:t>
              </m:r>
              <m:r>
                <m:rPr>
                  <m:sty m:val="p"/>
                </m:rPr>
                <m:t>≥</m:t>
              </m:r>
              <m:sSub>
                <m:e>
                  <m:r>
                    <m:t>τ</m:t>
                  </m:r>
                </m:e>
                <m:sub>
                  <m:r>
                    <m:t>V</m:t>
                  </m:r>
                </m:sub>
              </m:sSub>
            </m:e>
          </m:d>
          <m:r>
            <m:rPr>
              <m:sty m:val="p"/>
            </m:rPr>
            <m:t>.</m:t>
          </m:r>
        </m:oMath>
      </m:oMathPara>
    </w:p>
    <w:p>
      <w:pPr>
        <w:pStyle w:val="FirstParagraph"/>
      </w:pPr>
      <w:r>
        <w:rPr>
          <w:b/>
          <w:bCs/>
        </w:rPr>
        <w:t xml:space="preserve">Plain-language reading.</w:t>
      </w:r>
      <w:r>
        <w:t xml:space="preserve"> </w:t>
      </w:r>
      <w:r>
        <w:t xml:space="preserve">Autonomy nominates the contestants. The consciousness theory then asks which nominated systems realize all of its required functional or dynamical roles.</w:t>
      </w:r>
    </w:p>
    <w:p>
      <w:pPr>
        <w:pStyle w:val="BodyText"/>
      </w:pPr>
      <w:r>
        <w:rPr>
          <w:b/>
          <w:bCs/>
        </w:rPr>
        <w:t xml:space="preserve">Why this is not circular.</w:t>
      </w:r>
      <w:r>
        <w:t xml:space="preserve"> </w:t>
      </w:r>
      <m:oMath>
        <m:r>
          <m:rPr>
            <m:sty m:val="bi"/>
          </m:rPr>
          <m:t>F</m:t>
        </m:r>
      </m:oMath>
      <w:r>
        <w:t xml:space="preserve"> </w:t>
      </w:r>
      <w:r>
        <w:t xml:space="preserve">does not generate</w:t>
      </w:r>
      <w:r>
        <w:t xml:space="preserve"> </w:t>
      </w:r>
      <m:oMath>
        <m:sSub>
          <m:e>
            <m:r>
              <m:rPr>
                <m:scr m:val="script"/>
                <m:sty m:val="p"/>
              </m:rPr>
              <m:t>P</m:t>
            </m:r>
          </m:e>
          <m:sub>
            <m:r>
              <m:rPr>
                <m:sty m:val="p"/>
              </m:rPr>
              <m:t>Θ</m:t>
            </m:r>
          </m:sub>
        </m:sSub>
      </m:oMath>
      <w:r>
        <w:t xml:space="preserve">, and the boundary is not tuned to maximize</w:t>
      </w:r>
      <w:r>
        <w:t xml:space="preserve"> </w:t>
      </w:r>
      <m:oMath>
        <m:r>
          <m:rPr>
            <m:sty m:val="bi"/>
          </m:rPr>
          <m:t>F</m:t>
        </m:r>
      </m:oMath>
      <w:r>
        <w:t xml:space="preserve">. The role test can eliminate a causally coherent candidate, but it cannot invent a convenient boundary after the fact.</w:t>
      </w:r>
    </w:p>
    <w:p>
      <w:pPr>
        <w:pStyle w:val="BodyText"/>
      </w:pPr>
      <w:r>
        <w:rPr>
          <w:b/>
          <w:bCs/>
        </w:rPr>
        <w:t xml:space="preserve">Why viability is included.</w:t>
      </w:r>
      <w:r>
        <w:t xml:space="preserve"> </w:t>
      </w:r>
      <w:r>
        <w:t xml:space="preserve">A system can show transient integration, broadcast, and recurrence while lacking the capacity to sustain the organization under test. Viability must be independently operationalized for the substrate and horizon. It cannot be defined as</w:t>
      </w:r>
      <w:r>
        <w:t xml:space="preserve"> </w:t>
      </w:r>
      <w:r>
        <w:t xml:space="preserve">“whatever is needed for consciousness.”</w:t>
      </w:r>
    </w:p>
    <w:bookmarkEnd w:id="30"/>
    <w:bookmarkStart w:id="31" w:name="inclusion-minimal-boundaries"/>
    <w:p>
      <w:pPr>
        <w:pStyle w:val="Heading3"/>
      </w:pPr>
      <w:r>
        <w:t xml:space="preserve">4.7 Inclusion-minimal boundaries</w:t>
      </w:r>
    </w:p>
    <w:p>
      <w:pPr>
        <w:pStyle w:val="FirstParagraph"/>
      </w:pPr>
      <w:r>
        <w:t xml:space="preserve">Define the selected boundary family as</w:t>
      </w:r>
    </w:p>
    <w:p>
      <w:pPr>
        <w:pStyle w:val="BodyText"/>
      </w:pPr>
      <m:oMathPara>
        <m:oMathParaPr>
          <m:jc m:val="center"/>
        </m:oMathParaPr>
        <m:oMath>
          <m:sSub>
            <m:e>
              <m:r>
                <m:rPr>
                  <m:scr m:val="script"/>
                  <m:sty m:val="p"/>
                </m:rPr>
                <m:t>B</m:t>
              </m:r>
            </m:e>
            <m:sub>
              <m:r>
                <m:rPr>
                  <m:sty m:val="p"/>
                </m:rPr>
                <m:t>Θ</m:t>
              </m:r>
            </m:sub>
          </m:sSub>
          <m:r>
            <m:rPr>
              <m:sty m:val="p"/>
            </m:rPr>
            <m:t>=</m:t>
          </m:r>
          <m:sSub>
            <m:e>
              <m:r>
                <m:rPr>
                  <m:sty m:val="p"/>
                </m:rPr>
                <m:t>Min</m:t>
              </m:r>
            </m:e>
            <m:sub>
              <m:r>
                <m:rPr>
                  <m:sty m:val="p"/>
                </m:rPr>
                <m:t>⊆</m:t>
              </m:r>
            </m:sub>
          </m:sSub>
          <m:r>
            <m:rPr>
              <m:sty m:val="p"/>
            </m:rPr>
            <m:t>(</m:t>
          </m:r>
          <m:sSub>
            <m:e>
              <m:r>
                <m:rPr>
                  <m:scr m:val="script"/>
                  <m:sty m:val="p"/>
                </m:rPr>
                <m:t>Q</m:t>
              </m:r>
            </m:e>
            <m:sub>
              <m:r>
                <m:rPr>
                  <m:sty m:val="p"/>
                </m:rPr>
                <m:t>Θ</m:t>
              </m:r>
            </m:sub>
          </m:sSub>
          <m:r>
            <m:rPr>
              <m:sty m:val="p"/>
            </m:rPr>
            <m:t>)</m:t>
          </m:r>
          <m:r>
            <m:rPr>
              <m:sty m:val="p"/>
            </m:rPr>
            <m:t>=</m:t>
          </m:r>
          <m:d>
            <m:dPr>
              <m:begChr m:val="{"/>
              <m:sepChr m:val=""/>
              <m:endChr m:val="}"/>
              <m:grow/>
            </m:dPr>
            <m:e>
              <m:r>
                <m:t>S</m:t>
              </m:r>
              <m:r>
                <m:rPr>
                  <m:sty m:val="p"/>
                </m:rPr>
                <m:t>∈</m:t>
              </m:r>
              <m:sSub>
                <m:e>
                  <m:r>
                    <m:rPr>
                      <m:scr m:val="script"/>
                      <m:sty m:val="p"/>
                    </m:rPr>
                    <m:t>Q</m:t>
                  </m:r>
                </m:e>
                <m:sub>
                  <m:r>
                    <m:rPr>
                      <m:sty m:val="p"/>
                    </m:rPr>
                    <m:t>Θ</m:t>
                  </m:r>
                </m:sub>
              </m:sSub>
              <m:r>
                <m:rPr>
                  <m:sty m:val="p"/>
                </m:rPr>
                <m:t>:</m:t>
              </m:r>
              <m:r>
                <m:rPr>
                  <m:sty m:val="p"/>
                </m:rPr>
                <m:t>∄</m:t>
              </m:r>
              <m:sSup>
                <m:e>
                  <m:r>
                    <m:t>S</m:t>
                  </m:r>
                </m:e>
                <m:sup>
                  <m:r>
                    <m:rPr>
                      <m:sty m:val="p"/>
                    </m:rPr>
                    <m:t>′</m:t>
                  </m:r>
                </m:sup>
              </m:sSup>
              <m:r>
                <m:rPr>
                  <m:sty m:val="p"/>
                </m:rPr>
                <m:t>∈</m:t>
              </m:r>
              <m:sSub>
                <m:e>
                  <m:r>
                    <m:rPr>
                      <m:scr m:val="script"/>
                      <m:sty m:val="p"/>
                    </m:rPr>
                    <m:t>Q</m:t>
                  </m:r>
                </m:e>
                <m:sub>
                  <m:r>
                    <m:rPr>
                      <m:sty m:val="p"/>
                    </m:rPr>
                    <m:t>Θ</m:t>
                  </m:r>
                </m:sub>
              </m:sSub>
              <m:r>
                <m:rPr>
                  <m:nor/>
                  <m:sty m:val="p"/>
                </m:rPr>
                <m:t> with </m:t>
              </m:r>
              <m:sSup>
                <m:e>
                  <m:r>
                    <m:t>S</m:t>
                  </m:r>
                </m:e>
                <m:sup>
                  <m:r>
                    <m:rPr>
                      <m:sty m:val="p"/>
                    </m:rPr>
                    <m:t>′</m:t>
                  </m:r>
                </m:sup>
              </m:sSup>
              <m:r>
                <m:rPr>
                  <m:sty m:val="p"/>
                </m:rPr>
                <m:t>⊂</m:t>
              </m:r>
              <m:r>
                <m:t>S</m:t>
              </m:r>
            </m:e>
          </m:d>
          <m:r>
            <m:rPr>
              <m:sty m:val="p"/>
            </m:rPr>
            <m:t>.</m:t>
          </m:r>
        </m:oMath>
      </m:oMathPara>
    </w:p>
    <w:p>
      <w:pPr>
        <w:pStyle w:val="FirstParagraph"/>
      </w:pPr>
      <w:r>
        <w:rPr>
          <w:b/>
          <w:bCs/>
        </w:rPr>
        <w:t xml:space="preserve">Plain-language reading.</w:t>
      </w:r>
      <w:r>
        <w:t xml:space="preserve"> </w:t>
      </w:r>
      <w:r>
        <w:t xml:space="preserve">Retain every qualifying system that contains no smaller qualifying system at the same grain and horizon.</w:t>
      </w:r>
    </w:p>
    <w:p>
      <w:pPr>
        <w:pStyle w:val="BodyText"/>
      </w:pPr>
      <w:r>
        <w:rPr>
          <w:b/>
          <w:bCs/>
        </w:rPr>
        <w:t xml:space="preserve">Why inclusion-minimality is preferable to fewest nodes.</w:t>
      </w:r>
      <w:r>
        <w:t xml:space="preserve"> </w:t>
      </w:r>
      <w:r>
        <w:t xml:space="preserve">Cardinality depends heavily on parcellation. Inclusion-minimality asks whether a proper subsystem suffices within the same representation. It does not compare the number of neurons with the number of software services or reward an arbitrarily coarse node.</w:t>
      </w:r>
    </w:p>
    <w:p>
      <w:pPr>
        <w:pStyle w:val="BodyText"/>
      </w:pPr>
      <w:r>
        <w:rPr>
          <w:b/>
          <w:bCs/>
        </w:rPr>
        <w:t xml:space="preserve">Substantive consequence.</w:t>
      </w:r>
      <w:r>
        <w:t xml:space="preserve"> </w:t>
      </w:r>
      <w:r>
        <w:t xml:space="preserve">If a hemisphere qualifies and the whole brain qualifies at the same specification, the whole brain is not selected merely because it has a higher score. It must exhibit an irreducible organization unavailable to the hemisphere or be evaluated as a distinct candidate at another grain or horizon.</w:t>
      </w:r>
    </w:p>
    <w:bookmarkEnd w:id="31"/>
    <w:bookmarkStart w:id="32" w:name="Xda2887699db01c5ff89c51d96dd860756212a20"/>
    <w:p>
      <w:pPr>
        <w:pStyle w:val="Heading3"/>
      </w:pPr>
      <w:r>
        <w:t xml:space="preserve">4.8 Constituent, interface, or enabling support</w:t>
      </w:r>
    </w:p>
    <w:p>
      <w:pPr>
        <w:pStyle w:val="FirstParagraph"/>
      </w:pPr>
      <w:r>
        <w:t xml:space="preserve">A variable</w:t>
      </w:r>
      <w:r>
        <w:t xml:space="preserve"> </w:t>
      </w:r>
      <m:oMath>
        <m:r>
          <m:t>z</m:t>
        </m:r>
        <m:r>
          <m:rPr>
            <m:sty m:val="p"/>
          </m:rPr>
          <m:t>∉</m:t>
        </m:r>
        <m:r>
          <m:t>S</m:t>
        </m:r>
      </m:oMath>
      <w:r>
        <w:t xml:space="preserve"> </w:t>
      </w:r>
      <w:r>
        <w:t xml:space="preserve">should not be added merely because removing it eventually harms</w:t>
      </w:r>
      <w:r>
        <w:t xml:space="preserve"> </w:t>
      </w:r>
      <m:oMath>
        <m:r>
          <m:t>S</m:t>
        </m:r>
      </m:oMath>
      <w:r>
        <w:t xml:space="preserve">. Define the role-loss under perturbation</w:t>
      </w:r>
    </w:p>
    <w:p>
      <w:pPr>
        <w:pStyle w:val="BodyText"/>
      </w:pPr>
      <m:oMathPara>
        <m:oMathParaPr>
          <m:jc m:val="center"/>
        </m:oMathParaPr>
        <m:oMath>
          <m:sSub>
            <m:e>
              <m:r>
                <m:t>K</m:t>
              </m:r>
            </m:e>
            <m:sub>
              <m:r>
                <m:t>z</m:t>
              </m:r>
            </m:sub>
          </m:sSub>
          <m:r>
            <m:rPr>
              <m:sty m:val="p"/>
            </m:rPr>
            <m:t>(</m:t>
          </m:r>
          <m:r>
            <m:t>S</m:t>
          </m:r>
          <m:r>
            <m:rPr>
              <m:sty m:val="p"/>
            </m:rPr>
            <m:t>)</m:t>
          </m:r>
          <m:r>
            <m:rPr>
              <m:sty m:val="p"/>
            </m:rPr>
            <m:t>=</m:t>
          </m:r>
          <m:sSub>
            <m:e>
              <m:r>
                <m:t>d</m:t>
              </m:r>
            </m:e>
            <m:sub>
              <m:r>
                <m:t>F</m:t>
              </m:r>
            </m:sub>
          </m:sSub>
          <m:r>
            <m:t>​</m:t>
          </m:r>
          <m:d>
            <m:dPr>
              <m:begChr m:val="("/>
              <m:sepChr m:val=""/>
              <m:endChr m:val=")"/>
              <m:grow/>
            </m:dPr>
            <m:e>
              <m:sSub>
                <m:e>
                  <m:r>
                    <m:rPr>
                      <m:sty m:val="bi"/>
                    </m:rPr>
                    <m:t>F</m:t>
                  </m:r>
                </m:e>
                <m:sub>
                  <m:r>
                    <m:rPr>
                      <m:sty m:val="p"/>
                    </m:rPr>
                    <m:t>Θ</m:t>
                  </m:r>
                </m:sub>
              </m:sSub>
              <m:r>
                <m:rPr>
                  <m:sty m:val="p"/>
                </m:rPr>
                <m:t>(</m:t>
              </m:r>
              <m:r>
                <m:t>S</m:t>
              </m:r>
              <m:r>
                <m:rPr>
                  <m:sty m:val="p"/>
                </m:rPr>
                <m:t>)</m:t>
              </m:r>
              <m:r>
                <m:rPr>
                  <m:sty m:val="p"/>
                </m:rPr>
                <m:t>,</m:t>
              </m:r>
              <m:sSub>
                <m:e>
                  <m:r>
                    <m:rPr>
                      <m:sty m:val="bi"/>
                    </m:rPr>
                    <m:t>F</m:t>
                  </m:r>
                </m:e>
                <m:sub>
                  <m:r>
                    <m:rPr>
                      <m:sty m:val="p"/>
                    </m:rPr>
                    <m:t>Θ</m:t>
                  </m:r>
                </m:sub>
              </m:sSub>
              <m:r>
                <m:rPr>
                  <m:sty m:val="p"/>
                </m:rPr>
                <m:t>(</m:t>
              </m:r>
              <m:r>
                <m:t>S</m:t>
              </m:r>
              <m:r>
                <m:rPr>
                  <m:sty m:val="p"/>
                </m:rPr>
                <m:t>∣</m:t>
              </m:r>
              <m:r>
                <m:t>d</m:t>
              </m:r>
              <m:r>
                <m:t>o</m:t>
              </m:r>
              <m:r>
                <m:rPr>
                  <m:sty m:val="p"/>
                </m:rPr>
                <m:t>(</m:t>
              </m:r>
              <m:r>
                <m:t>z</m:t>
              </m:r>
              <m:r>
                <m:rPr>
                  <m:sty m:val="p"/>
                </m:rPr>
                <m:t>=</m:t>
              </m:r>
              <m:sSub>
                <m:e>
                  <m:r>
                    <m:t>z</m:t>
                  </m:r>
                </m:e>
                <m:sub>
                  <m:r>
                    <m:t>0</m:t>
                  </m:r>
                </m:sub>
              </m:sSub>
              <m:r>
                <m:rPr>
                  <m:sty m:val="p"/>
                </m:rPr>
                <m:t>)</m:t>
              </m:r>
              <m:r>
                <m:rPr>
                  <m:sty m:val="p"/>
                </m:rPr>
                <m:t>)</m:t>
              </m:r>
            </m:e>
          </m:d>
          <m:r>
            <m:rPr>
              <m:sty m:val="p"/>
            </m:rPr>
            <m:t>,</m:t>
          </m:r>
        </m:oMath>
      </m:oMathPara>
    </w:p>
    <w:p>
      <w:pPr>
        <w:pStyle w:val="FirstParagraph"/>
      </w:pPr>
      <w:r>
        <w:t xml:space="preserve">where</w:t>
      </w:r>
      <w:r>
        <w:t xml:space="preserve"> </w:t>
      </w:r>
      <m:oMath>
        <m:sSub>
          <m:e>
            <m:r>
              <m:t>z</m:t>
            </m:r>
          </m:e>
          <m:sub>
            <m:r>
              <m:t>0</m:t>
            </m:r>
          </m:sub>
        </m:sSub>
      </m:oMath>
      <w:r>
        <w:t xml:space="preserve"> </w:t>
      </w:r>
      <w:r>
        <w:t xml:space="preserve">is an intervention that removes or clamps the contribution of</w:t>
      </w:r>
      <w:r>
        <w:t xml:space="preserve"> </w:t>
      </w:r>
      <m:oMath>
        <m:r>
          <m:t>z</m:t>
        </m:r>
      </m:oMath>
      <w:r>
        <w:t xml:space="preserve">, and</w:t>
      </w:r>
      <w:r>
        <w:t xml:space="preserve"> </w:t>
      </w:r>
      <m:oMath>
        <m:sSub>
          <m:e>
            <m:r>
              <m:t>d</m:t>
            </m:r>
          </m:e>
          <m:sub>
            <m:r>
              <m:t>F</m:t>
            </m:r>
          </m:sub>
        </m:sSub>
      </m:oMath>
      <w:r>
        <w:t xml:space="preserve"> </w:t>
      </w:r>
      <w:r>
        <w:t xml:space="preserve">compares role profiles.</w:t>
      </w:r>
    </w:p>
    <w:p>
      <w:pPr>
        <w:pStyle w:val="BodyText"/>
      </w:pPr>
      <w:r>
        <w:t xml:space="preserve">Then apply a replacement test. Let</w:t>
      </w:r>
      <w:r>
        <w:t xml:space="preserve"> </w:t>
      </w:r>
      <m:oMath>
        <m:sSub>
          <m:e>
            <m:r>
              <m:t>r</m:t>
            </m:r>
          </m:e>
          <m:sub>
            <m:r>
              <m:t>z</m:t>
            </m:r>
          </m:sub>
        </m:sSub>
      </m:oMath>
      <w:r>
        <w:t xml:space="preserve"> </w:t>
      </w:r>
      <w:r>
        <w:t xml:space="preserve">restore the generic support supplied by</w:t>
      </w:r>
      <w:r>
        <w:t xml:space="preserve"> </w:t>
      </w:r>
      <m:oMath>
        <m:r>
          <m:t>z</m:t>
        </m:r>
      </m:oMath>
      <w:r>
        <w:t xml:space="preserve"> </w:t>
      </w:r>
      <w:r>
        <w:t xml:space="preserve">without restoring its specific causal dynamics. If</w:t>
      </w:r>
    </w:p>
    <w:p>
      <w:pPr>
        <w:pStyle w:val="BodyText"/>
      </w:pPr>
      <m:oMathPara>
        <m:oMathParaPr>
          <m:jc m:val="center"/>
        </m:oMathParaPr>
        <m:oMath>
          <m:sSub>
            <m:e>
              <m:r>
                <m:t>K</m:t>
              </m:r>
            </m:e>
            <m:sub>
              <m:r>
                <m:t>z</m:t>
              </m:r>
            </m:sub>
          </m:sSub>
          <m:r>
            <m:rPr>
              <m:sty m:val="p"/>
            </m:rPr>
            <m:t>(</m:t>
          </m:r>
          <m:r>
            <m:t>S</m:t>
          </m:r>
          <m:r>
            <m:rPr>
              <m:sty m:val="p"/>
            </m:rPr>
            <m:t>)</m:t>
          </m:r>
          <m:r>
            <m:rPr>
              <m:nor/>
              <m:sty m:val="p"/>
            </m:rPr>
            <m:t> remains large under </m:t>
          </m:r>
          <m:sSub>
            <m:e>
              <m:r>
                <m:t>r</m:t>
              </m:r>
            </m:e>
            <m:sub>
              <m:r>
                <m:t>z</m:t>
              </m:r>
            </m:sub>
          </m:sSub>
          <m:r>
            <m:rPr>
              <m:sty m:val="p"/>
            </m:rPr>
            <m:t>,</m:t>
          </m:r>
        </m:oMath>
      </m:oMathPara>
    </w:p>
    <w:p>
      <w:pPr>
        <w:pStyle w:val="FirstParagraph"/>
      </w:pPr>
      <w:r>
        <w:t xml:space="preserve">then</w:t>
      </w:r>
      <w:r>
        <w:t xml:space="preserve"> </w:t>
      </w:r>
      <m:oMath>
        <m:r>
          <m:t>z</m:t>
        </m:r>
      </m:oMath>
      <w:r>
        <w:t xml:space="preserve"> </w:t>
      </w:r>
      <w:r>
        <w:t xml:space="preserve">is evidence for a constitutive component. If the role profile recovers under generic replacement,</w:t>
      </w:r>
      <w:r>
        <w:t xml:space="preserve"> </w:t>
      </w:r>
      <m:oMath>
        <m:r>
          <m:t>z</m:t>
        </m:r>
      </m:oMath>
      <w:r>
        <w:t xml:space="preserve"> </w:t>
      </w:r>
      <w:r>
        <w:t xml:space="preserve">is more plausibly an enabling support. If</w:t>
      </w:r>
      <w:r>
        <w:t xml:space="preserve"> </w:t>
      </w:r>
      <m:oMath>
        <m:r>
          <m:t>z</m:t>
        </m:r>
      </m:oMath>
      <w:r>
        <w:t xml:space="preserve"> </w:t>
      </w:r>
      <w:r>
        <w:t xml:space="preserve">transmits bounded inputs or outputs while the internal organization remains autonomous, it is an interface component or environmental channel.</w:t>
      </w:r>
    </w:p>
    <w:p>
      <w:pPr>
        <w:pStyle w:val="BodyText"/>
      </w:pPr>
      <w:r>
        <w:rPr>
          <w:b/>
          <w:bCs/>
        </w:rPr>
        <w:t xml:space="preserve">Example.</w:t>
      </w:r>
      <w:r>
        <w:t xml:space="preserve"> </w:t>
      </w:r>
      <w:r>
        <w:t xml:space="preserve">Removing circulation will eventually destroy neural viability, but externally maintaining oxygenation can preserve the fast neural organization. This supports classifying much of circulation as enabling at a subsecond phenomenal horizon. By contrast, replacing a recurrent thalamic loop with a constant drive may fail to restore integration and availability, supporting its inclusion as constitutive.</w:t>
      </w:r>
    </w:p>
    <w:p>
      <w:pPr>
        <w:pStyle w:val="BodyText"/>
      </w:pPr>
      <w:r>
        <w:rPr>
          <w:b/>
          <w:bCs/>
        </w:rPr>
        <w:t xml:space="preserve">Limit.</w:t>
      </w:r>
      <w:r>
        <w:t xml:space="preserve"> </w:t>
      </w:r>
      <w:r>
        <w:t xml:space="preserve">Constitutive and enabling roles can change with</w:t>
      </w:r>
      <w:r>
        <w:t xml:space="preserve"> </w:t>
      </w:r>
      <m:oMath>
        <m:r>
          <m:rPr>
            <m:sty m:val="p"/>
          </m:rPr>
          <m:t>Δ</m:t>
        </m:r>
      </m:oMath>
      <w:r>
        <w:t xml:space="preserve">. A bodily process that is replaceable over 300 ms may become an indispensable participant in an affective or regulatory episode over tens of seconds.</w:t>
      </w:r>
    </w:p>
    <w:bookmarkEnd w:id="32"/>
    <w:bookmarkStart w:id="33" w:name="boundary-outputs"/>
    <w:p>
      <w:pPr>
        <w:pStyle w:val="Heading3"/>
      </w:pPr>
      <w:r>
        <w:t xml:space="preserve">4.9 Boundary outputs</w:t>
      </w:r>
    </w:p>
    <w:p>
      <w:pPr>
        <w:pStyle w:val="FirstParagraph"/>
      </w:pPr>
      <w:r>
        <w:t xml:space="preserve">The method returns one of five boundary statuses.</w:t>
      </w:r>
    </w:p>
    <w:tbl>
      <w:tblPr>
        <w:tblW w:type="pct" w:w="5000"/>
        <w:jc w:val="center"/>
        <w:tblLayout w:type="fixed"/>
        <w:tblLook w:firstRow="1" w:lastRow="0" w:firstColumn="0" w:lastColumn="0" w:noHBand="0" w:noVBand="0" w:val="0020"/>
      </w:tblPr>
      <w:tblGrid>
        <w:gridCol w:w="1584"/>
        <w:gridCol w:w="2376"/>
        <w:gridCol w:w="3960"/>
      </w:tblGrid>
      <w:tr>
        <w:trPr>
          <w:tblHeader w:val="on"/>
          <w:cantSplit/>
          <w:tblHeader w:val="true"/>
        </w:trPr>
        <w:tc>
          <w:tcPr>
            <w:tcW w:type="dxa" w:w="1872"/>
            <w:shd w:fill="1C2D40" w:val="clear"/>
          </w:tcPr>
          <w:p>
            <w:pPr>
              <w:pStyle w:val="Compact"/>
              <w:spacing w:after="60"/>
            </w:pPr>
            <w:r>
              <w:rPr>
                <w:rFonts w:ascii="Times New Roman" w:hAnsi="Times New Roman" w:eastAsia="Times New Roman"/>
                <w:b/>
                <w:color w:val="FFFFFF"/>
                <w:sz w:val="18"/>
              </w:rPr>
              <w:t xml:space="preserve">Status</w:t>
            </w:r>
          </w:p>
        </w:tc>
        <w:tc>
          <w:tcPr>
            <w:tcW w:type="dxa" w:w="2808"/>
            <w:shd w:fill="1C2D40" w:val="clear"/>
          </w:tcPr>
          <w:p>
            <w:pPr>
              <w:pStyle w:val="Compact"/>
              <w:spacing w:after="60"/>
            </w:pPr>
            <w:r>
              <w:rPr>
                <w:rFonts w:ascii="Times New Roman" w:hAnsi="Times New Roman" w:eastAsia="Times New Roman"/>
                <w:b/>
                <w:color w:val="FFFFFF"/>
                <w:sz w:val="18"/>
              </w:rPr>
              <w:t xml:space="preserve">Formal condition</w:t>
            </w:r>
          </w:p>
        </w:tc>
        <w:tc>
          <w:tcPr>
            <w:tcW w:type="dxa" w:w="4680"/>
            <w:shd w:fill="1C2D40" w:val="clear"/>
          </w:tcPr>
          <w:p>
            <w:pPr>
              <w:pStyle w:val="Compact"/>
              <w:spacing w:after="60"/>
            </w:pPr>
            <w:r>
              <w:rPr>
                <w:rFonts w:ascii="Times New Roman" w:hAnsi="Times New Roman" w:eastAsia="Times New Roman"/>
                <w:b/>
                <w:color w:val="FFFFFF"/>
                <w:sz w:val="18"/>
              </w:rPr>
              <w:t xml:space="preserve">Interpretation</w:t>
            </w:r>
          </w:p>
        </w:tc>
      </w:tr>
      <w:tr>
        <w:trPr>
          <w:cantSplit/>
        </w:trPr>
        <w:tc>
          <w:tcPr>
            <w:tcW w:type="dxa" w:w="1872"/>
            <w:shd w:fill="FFFFFF" w:val="clear"/>
          </w:tcPr>
          <w:p>
            <w:pPr>
              <w:pStyle w:val="Compact"/>
              <w:spacing w:after="60"/>
            </w:pPr>
            <w:r>
              <w:rPr>
                <w:rFonts w:ascii="Times New Roman" w:hAnsi="Times New Roman" w:eastAsia="Times New Roman"/>
                <w:sz w:val="18"/>
              </w:rPr>
              <w:t xml:space="preserve">Unique candidate</w:t>
            </w:r>
          </w:p>
        </w:tc>
        <w:tc>
          <w:tcPr>
            <w:tcW w:type="dxa" w:w="2808"/>
            <w:shd w:fill="FFFFFF" w:val="clear"/>
          </w:tcPr>
          <w:p>
            <w:pPr>
              <w:pStyle w:val="Compact"/>
              <w:spacing w:after="60"/>
            </w:pPr>
            <m:oMath>
              <m:r>
                <m:rPr>
                  <m:sty m:val="p"/>
                </m:rPr>
                <m:t>|</m:t>
              </m:r>
              <m:sSub>
                <m:e>
                  <m:r>
                    <m:rPr>
                      <m:scr m:val="script"/>
                      <m:sty m:val="p"/>
                    </m:rPr>
                    <m:t>B</m:t>
                  </m:r>
                </m:e>
                <m:sub>
                  <m:r>
                    <m:rPr>
                      <m:sty m:val="p"/>
                    </m:rPr>
                    <m:t>Θ</m:t>
                  </m:r>
                </m:sub>
              </m:sSub>
              <m:r>
                <m:rPr>
                  <m:sty m:val="p"/>
                </m:rPr>
                <m:t>|</m:t>
              </m:r>
              <m:r>
                <m:rPr>
                  <m:sty m:val="p"/>
                </m:rPr>
                <m:t>=</m:t>
              </m:r>
              <m:r>
                <m:t>1</m:t>
              </m:r>
            </m:oMath>
          </w:p>
        </w:tc>
        <w:tc>
          <w:tcPr>
            <w:tcW w:type="dxa" w:w="4680"/>
            <w:shd w:fill="FFFFFF" w:val="clear"/>
          </w:tcPr>
          <w:p>
            <w:pPr>
              <w:pStyle w:val="Compact"/>
              <w:spacing w:after="60"/>
            </w:pPr>
            <w:r>
              <w:rPr>
                <w:rFonts w:ascii="Times New Roman" w:hAnsi="Times New Roman" w:eastAsia="Times New Roman"/>
                <w:sz w:val="18"/>
              </w:rPr>
              <w:t xml:space="preserve">One inclusion-minimal candidate qualifies at the declared specification.</w:t>
            </w:r>
          </w:p>
        </w:tc>
      </w:tr>
      <w:tr>
        <w:trPr>
          <w:cantSplit/>
        </w:trPr>
        <w:tc>
          <w:tcPr>
            <w:tcW w:type="dxa" w:w="1872"/>
            <w:shd w:fill="EAF1F6" w:val="clear"/>
          </w:tcPr>
          <w:p>
            <w:pPr>
              <w:pStyle w:val="Compact"/>
              <w:spacing w:after="60"/>
            </w:pPr>
            <w:r>
              <w:rPr>
                <w:rFonts w:ascii="Times New Roman" w:hAnsi="Times New Roman" w:eastAsia="Times New Roman"/>
                <w:sz w:val="18"/>
              </w:rPr>
              <w:t xml:space="preserve">Multiple candidates</w:t>
            </w:r>
          </w:p>
        </w:tc>
        <w:tc>
          <w:tcPr>
            <w:tcW w:type="dxa" w:w="2808"/>
            <w:shd w:fill="EAF1F6" w:val="clear"/>
          </w:tcPr>
          <w:p>
            <w:pPr>
              <w:pStyle w:val="Compact"/>
              <w:spacing w:after="60"/>
            </w:pPr>
            <w:r>
              <w:rPr>
                <w:rFonts w:ascii="Times New Roman" w:hAnsi="Times New Roman" w:eastAsia="Times New Roman"/>
                <w:sz w:val="18"/>
              </w:rPr>
              <w:t xml:space="preserve">Several sufficiently separated members of</w:t>
            </w:r>
            <w:r>
              <w:rPr>
                <w:rFonts w:ascii="Times New Roman" w:hAnsi="Times New Roman" w:eastAsia="Times New Roman"/>
                <w:sz w:val="18"/>
              </w:rPr>
              <w:t xml:space="preserve"> </w:t>
            </w:r>
            <m:oMath>
              <m:sSub>
                <m:e>
                  <m:r>
                    <m:rPr>
                      <m:scr m:val="script"/>
                      <m:sty m:val="p"/>
                    </m:rPr>
                    <m:t>B</m:t>
                  </m:r>
                </m:e>
                <m:sub>
                  <m:r>
                    <m:rPr>
                      <m:sty m:val="p"/>
                    </m:rPr>
                    <m:t>Θ</m:t>
                  </m:r>
                </m:sub>
              </m:sSub>
            </m:oMath>
          </w:p>
        </w:tc>
        <w:tc>
          <w:tcPr>
            <w:tcW w:type="dxa" w:w="4680"/>
            <w:shd w:fill="EAF1F6" w:val="clear"/>
          </w:tcPr>
          <w:p>
            <w:pPr>
              <w:pStyle w:val="Compact"/>
              <w:spacing w:after="60"/>
            </w:pPr>
            <w:r>
              <w:rPr>
                <w:rFonts w:ascii="Times New Roman" w:hAnsi="Times New Roman" w:eastAsia="Times New Roman"/>
                <w:sz w:val="18"/>
              </w:rPr>
              <w:t xml:space="preserve">The data support more than one candidate subject.</w:t>
            </w:r>
          </w:p>
        </w:tc>
      </w:tr>
      <w:tr>
        <w:trPr>
          <w:cantSplit/>
        </w:trPr>
        <w:tc>
          <w:tcPr>
            <w:tcW w:type="dxa" w:w="1872"/>
            <w:shd w:fill="FFFFFF" w:val="clear"/>
          </w:tcPr>
          <w:p>
            <w:pPr>
              <w:pStyle w:val="Compact"/>
              <w:spacing w:after="60"/>
            </w:pPr>
            <w:r>
              <w:rPr>
                <w:rFonts w:ascii="Times New Roman" w:hAnsi="Times New Roman" w:eastAsia="Times New Roman"/>
                <w:sz w:val="18"/>
              </w:rPr>
              <w:t xml:space="preserve">Nested across scales</w:t>
            </w:r>
          </w:p>
        </w:tc>
        <w:tc>
          <w:tcPr>
            <w:tcW w:type="dxa" w:w="2808"/>
            <w:shd w:fill="FFFFFF" w:val="clear"/>
          </w:tcPr>
          <w:p>
            <w:pPr>
              <w:pStyle w:val="Compact"/>
              <w:spacing w:after="60"/>
            </w:pPr>
            <w:r>
              <w:rPr>
                <w:rFonts w:ascii="Times New Roman" w:hAnsi="Times New Roman" w:eastAsia="Times New Roman"/>
                <w:sz w:val="18"/>
              </w:rPr>
              <w:t xml:space="preserve">Candidates are selected under different defensible values of</w:t>
            </w:r>
            <w:r>
              <w:rPr>
                <w:rFonts w:ascii="Times New Roman" w:hAnsi="Times New Roman" w:eastAsia="Times New Roman"/>
                <w:sz w:val="18"/>
              </w:rPr>
              <w:t xml:space="preserve"> </w:t>
            </w:r>
            <m:oMath>
              <m:r>
                <m:t>g</m:t>
              </m:r>
            </m:oMath>
            <w:r>
              <w:rPr>
                <w:rFonts w:ascii="Times New Roman" w:hAnsi="Times New Roman" w:eastAsia="Times New Roman"/>
                <w:sz w:val="18"/>
              </w:rPr>
              <w:t xml:space="preserve"> </w:t>
            </w:r>
            <w:r>
              <w:rPr>
                <w:rFonts w:ascii="Times New Roman" w:hAnsi="Times New Roman" w:eastAsia="Times New Roman"/>
                <w:sz w:val="18"/>
              </w:rPr>
              <w:t xml:space="preserve">or</w:t>
            </w:r>
            <w:r>
              <w:rPr>
                <w:rFonts w:ascii="Times New Roman" w:hAnsi="Times New Roman" w:eastAsia="Times New Roman"/>
                <w:sz w:val="18"/>
              </w:rPr>
              <w:t xml:space="preserve"> </w:t>
            </w:r>
            <m:oMath>
              <m:r>
                <m:rPr>
                  <m:sty m:val="p"/>
                </m:rPr>
                <m:t>Δ</m:t>
              </m:r>
            </m:oMath>
          </w:p>
        </w:tc>
        <w:tc>
          <w:tcPr>
            <w:tcW w:type="dxa" w:w="4680"/>
            <w:shd w:fill="FFFFFF" w:val="clear"/>
          </w:tcPr>
          <w:p>
            <w:pPr>
              <w:pStyle w:val="Compact"/>
              <w:spacing w:after="60"/>
            </w:pPr>
            <w:r>
              <w:rPr>
                <w:rFonts w:ascii="Times New Roman" w:hAnsi="Times New Roman" w:eastAsia="Times New Roman"/>
                <w:sz w:val="18"/>
              </w:rPr>
              <w:t xml:space="preserve">Report a hierarchy; do not collapse levels without an exclusion argument.</w:t>
            </w:r>
          </w:p>
        </w:tc>
      </w:tr>
      <w:tr>
        <w:trPr>
          <w:cantSplit/>
        </w:trPr>
        <w:tc>
          <w:tcPr>
            <w:tcW w:type="dxa" w:w="1872"/>
            <w:shd w:fill="EAF1F6" w:val="clear"/>
          </w:tcPr>
          <w:p>
            <w:pPr>
              <w:pStyle w:val="Compact"/>
              <w:spacing w:after="60"/>
            </w:pPr>
            <w:r>
              <w:rPr>
                <w:rFonts w:ascii="Times New Roman" w:hAnsi="Times New Roman" w:eastAsia="Times New Roman"/>
                <w:sz w:val="18"/>
              </w:rPr>
              <w:t xml:space="preserve">No qualifying candidate</w:t>
            </w:r>
          </w:p>
        </w:tc>
        <w:tc>
          <w:tcPr>
            <w:tcW w:type="dxa" w:w="2808"/>
            <w:shd w:fill="EAF1F6" w:val="clear"/>
          </w:tcPr>
          <w:p>
            <w:pPr>
              <w:pStyle w:val="Compact"/>
              <w:spacing w:after="60"/>
            </w:pPr>
            <m:oMath>
              <m:sSub>
                <m:e>
                  <m:r>
                    <m:rPr>
                      <m:scr m:val="script"/>
                      <m:sty m:val="p"/>
                    </m:rPr>
                    <m:t>Q</m:t>
                  </m:r>
                </m:e>
                <m:sub>
                  <m:r>
                    <m:rPr>
                      <m:sty m:val="p"/>
                    </m:rPr>
                    <m:t>Θ</m:t>
                  </m:r>
                </m:sub>
              </m:sSub>
              <m:r>
                <m:rPr>
                  <m:sty m:val="p"/>
                </m:rPr>
                <m:t>=</m:t>
              </m:r>
              <m:r>
                <m:rPr>
                  <m:sty m:val="p"/>
                </m:rPr>
                <m:t>⌀</m:t>
              </m:r>
            </m:oMath>
          </w:p>
        </w:tc>
        <w:tc>
          <w:tcPr>
            <w:tcW w:type="dxa" w:w="4680"/>
            <w:shd w:fill="EAF1F6" w:val="clear"/>
          </w:tcPr>
          <w:p>
            <w:pPr>
              <w:pStyle w:val="Compact"/>
              <w:spacing w:after="60"/>
            </w:pPr>
            <w:r>
              <w:rPr>
                <w:rFonts w:ascii="Times New Roman" w:hAnsi="Times New Roman" w:eastAsia="Times New Roman"/>
                <w:sz w:val="18"/>
              </w:rPr>
              <w:t xml:space="preserve">No causally admissible system realizes the complete role bundle.</w:t>
            </w:r>
          </w:p>
        </w:tc>
      </w:tr>
      <w:tr>
        <w:trPr>
          <w:cantSplit/>
        </w:trPr>
        <w:tc>
          <w:tcPr>
            <w:tcW w:type="dxa" w:w="1872"/>
            <w:shd w:fill="FFFFFF" w:val="clear"/>
          </w:tcPr>
          <w:p>
            <w:pPr>
              <w:pStyle w:val="Compact"/>
              <w:spacing w:after="60"/>
            </w:pPr>
            <w:r>
              <w:rPr>
                <w:rFonts w:ascii="Times New Roman" w:hAnsi="Times New Roman" w:eastAsia="Times New Roman"/>
                <w:sz w:val="18"/>
              </w:rPr>
              <w:t xml:space="preserve">Boundary-indeterminate</w:t>
            </w:r>
          </w:p>
        </w:tc>
        <w:tc>
          <w:tcPr>
            <w:tcW w:type="dxa" w:w="2808"/>
            <w:shd w:fill="FFFFFF" w:val="clear"/>
          </w:tcPr>
          <w:p>
            <w:pPr>
              <w:pStyle w:val="Compact"/>
              <w:spacing w:after="60"/>
            </w:pPr>
            <w:r>
              <w:rPr>
                <w:rFonts w:ascii="Times New Roman" w:hAnsi="Times New Roman" w:eastAsia="Times New Roman"/>
                <w:sz w:val="18"/>
              </w:rPr>
              <w:t xml:space="preserve">Candidate identity changes beyond tolerance across reasonable specifications, or candidates overlap incompatibly</w:t>
            </w:r>
          </w:p>
        </w:tc>
        <w:tc>
          <w:tcPr>
            <w:tcW w:type="dxa" w:w="4680"/>
            <w:shd w:fill="FFFFFF" w:val="clear"/>
          </w:tcPr>
          <w:p>
            <w:pPr>
              <w:pStyle w:val="Compact"/>
              <w:spacing w:after="60"/>
            </w:pPr>
            <w:r>
              <w:rPr>
                <w:rFonts w:ascii="Times New Roman" w:hAnsi="Times New Roman" w:eastAsia="Times New Roman"/>
                <w:sz w:val="18"/>
              </w:rPr>
              <w:t xml:space="preserve">The consciousness test lacks a stable target system.</w:t>
            </w:r>
          </w:p>
        </w:tc>
      </w:tr>
    </w:tbl>
    <w:p>
      <w:pPr>
        <w:pStyle w:val="BodyText"/>
      </w:pPr>
      <w:r>
        <w:t xml:space="preserve">Boundary indeterminacy should normally make the consciousness assessment</w:t>
      </w:r>
      <w:r>
        <w:t xml:space="preserve"> </w:t>
      </w:r>
      <w:r>
        <w:rPr>
          <w:b/>
          <w:bCs/>
        </w:rPr>
        <w:t xml:space="preserve">unlicensed</w:t>
      </w:r>
      <w:r>
        <w:t xml:space="preserve">, not negative. It is not evidence that no subject exists. It is evidence that the present method has not identified the bearer to which its measures apply.</w:t>
      </w:r>
    </w:p>
    <w:bookmarkEnd w:id="33"/>
    <w:bookmarkEnd w:id="34"/>
    <w:bookmarkStart w:id="43" w:name="a-non-circular-boundary-first-workflow"/>
    <w:p>
      <w:pPr>
        <w:pStyle w:val="Heading2"/>
      </w:pPr>
      <w:r>
        <w:t xml:space="preserve">5. A Non-Circular Boundary-First Workflow</w:t>
      </w:r>
    </w:p>
    <w:bookmarkStart w:id="35" w:name="X3b535248de5e458359f85f04898acfc9e063f79"/>
    <w:p>
      <w:pPr>
        <w:pStyle w:val="Heading3"/>
      </w:pPr>
      <w:r>
        <w:t xml:space="preserve">5.1 Stage 1: Declare the observational universe</w:t>
      </w:r>
    </w:p>
    <w:p>
      <w:pPr>
        <w:pStyle w:val="FirstParagraph"/>
      </w:pPr>
      <w:r>
        <w:t xml:space="preserve">List measured and intentionally omitted variables. State why the universe includes cortex, subcortex, bodily channels, hardware services, other agents, or environmental artifacts. Record known blind spots. The universe should be broad enough that the leading competing boundaries can be represented.</w:t>
      </w:r>
    </w:p>
    <w:bookmarkEnd w:id="35"/>
    <w:bookmarkStart w:id="36" w:name="stage-2-lock-grain-horizon-and-regime"/>
    <w:p>
      <w:pPr>
        <w:pStyle w:val="Heading3"/>
      </w:pPr>
      <w:r>
        <w:t xml:space="preserve">5.2 Stage 2: Lock grain, horizon, and regime</w:t>
      </w:r>
    </w:p>
    <w:p>
      <w:pPr>
        <w:pStyle w:val="FirstParagraph"/>
      </w:pPr>
      <w:r>
        <w:t xml:space="preserve">Choose the node definition, update interval, evaluation horizon, and operating regime before examining the theory-specific result. If several choices are scientifically live, preregister a grid rather than choosing one later.</w:t>
      </w:r>
    </w:p>
    <w:bookmarkEnd w:id="36"/>
    <w:bookmarkStart w:id="37" w:name="stage-3-generate-causal-candidates"/>
    <w:p>
      <w:pPr>
        <w:pStyle w:val="Heading3"/>
      </w:pPr>
      <w:r>
        <w:t xml:space="preserve">5.3 Stage 3: Generate causal candidates</w:t>
      </w:r>
    </w:p>
    <w:p>
      <w:pPr>
        <w:pStyle w:val="FirstParagraph"/>
      </w:pPr>
      <w:r>
        <w:t xml:space="preserve">Use discovery data and consciousness-independent causal criteria to estimate</w:t>
      </w:r>
      <w:r>
        <w:t xml:space="preserve"> </w:t>
      </w:r>
      <m:oMath>
        <m:sSub>
          <m:e>
            <m:r>
              <m:t>J</m:t>
            </m:r>
          </m:e>
          <m:sub>
            <m:r>
              <m:rPr>
                <m:sty m:val="p"/>
              </m:rPr>
              <m:t>s</m:t>
            </m:r>
            <m:r>
              <m:rPr>
                <m:sty m:val="p"/>
              </m:rPr>
              <m:t>e</m:t>
            </m:r>
            <m:r>
              <m:rPr>
                <m:sty m:val="p"/>
              </m:rPr>
              <m:t>l</m:t>
            </m:r>
            <m:r>
              <m:rPr>
                <m:sty m:val="p"/>
              </m:rPr>
              <m:t>f</m:t>
            </m:r>
          </m:sub>
        </m:sSub>
      </m:oMath>
      <w:r>
        <w:t xml:space="preserve">,</w:t>
      </w:r>
      <w:r>
        <w:t xml:space="preserve"> </w:t>
      </w:r>
      <m:oMath>
        <m:sSub>
          <m:e>
            <m:r>
              <m:t>J</m:t>
            </m:r>
          </m:e>
          <m:sub>
            <m:r>
              <m:rPr>
                <m:sty m:val="p"/>
              </m:rPr>
              <m:t>i</m:t>
            </m:r>
            <m:r>
              <m:rPr>
                <m:sty m:val="p"/>
              </m:rPr>
              <m:t>n</m:t>
            </m:r>
          </m:sub>
        </m:sSub>
      </m:oMath>
      <w:r>
        <w:t xml:space="preserve">, and robustness. Generate</w:t>
      </w:r>
      <w:r>
        <w:t xml:space="preserve"> </w:t>
      </w:r>
      <m:oMath>
        <m:sSub>
          <m:e>
            <m:r>
              <m:rPr>
                <m:scr m:val="script"/>
                <m:sty m:val="p"/>
              </m:rPr>
              <m:t>P</m:t>
            </m:r>
          </m:e>
          <m:sub>
            <m:r>
              <m:rPr>
                <m:sty m:val="p"/>
              </m:rPr>
              <m:t>Θ</m:t>
            </m:r>
          </m:sub>
        </m:sSub>
      </m:oMath>
      <w:r>
        <w:t xml:space="preserve">. Statistical Markov blankets can be useful candidate generators because they identify conditional-independence structures, including nested partitions in neural systems (Friston et al., 2021; Hipólito et al., 2021). They are not sufficient by themselves: blankets can be model-relative, ubiquitous, or present in systems that lack the active causal organization required here.</w:t>
      </w:r>
    </w:p>
    <w:bookmarkEnd w:id="37"/>
    <w:bookmarkStart w:id="38" w:name="stage-4-freeze-candidates"/>
    <w:p>
      <w:pPr>
        <w:pStyle w:val="Heading3"/>
      </w:pPr>
      <w:r>
        <w:t xml:space="preserve">5.4 Stage 4: Freeze candidates</w:t>
      </w:r>
    </w:p>
    <w:p>
      <w:pPr>
        <w:pStyle w:val="FirstParagraph"/>
      </w:pPr>
      <w:r>
        <w:t xml:space="preserve">Record each candidate’s nodes and interfaces. Hash or archive the boundary file. Do not add or remove nodes after theory-specific scores are visible except in a separately labeled exploratory analysis.</w:t>
      </w:r>
    </w:p>
    <w:bookmarkEnd w:id="38"/>
    <w:bookmarkStart w:id="39" w:name="Xd7203f4b8827313c4152d551451510b02a4f07f"/>
    <w:p>
      <w:pPr>
        <w:pStyle w:val="Heading3"/>
      </w:pPr>
      <w:r>
        <w:t xml:space="preserve">5.5 Stage 5: Measure role completeness on held-out data</w:t>
      </w:r>
    </w:p>
    <w:p>
      <w:pPr>
        <w:pStyle w:val="FirstParagraph"/>
      </w:pPr>
      <w:r>
        <w:t xml:space="preserve">Estimate integration, availability, recurrence, and viability for every frozen candidate. Apply preregistered surrogate-conflict rules. A candidate with conflicting measures remains unresolved; it does not get a new boundary chosen to remove the conflict.</w:t>
      </w:r>
    </w:p>
    <w:bookmarkEnd w:id="39"/>
    <w:bookmarkStart w:id="40" w:name="Xe5c90c8cd7a4c1874063968200c4913d73e18ba"/>
    <w:p>
      <w:pPr>
        <w:pStyle w:val="Heading3"/>
      </w:pPr>
      <w:r>
        <w:t xml:space="preserve">5.6 Stage 6: Apply inclusion-minimality and separation tests</w:t>
      </w:r>
    </w:p>
    <w:p>
      <w:pPr>
        <w:pStyle w:val="FirstParagraph"/>
      </w:pPr>
      <w:r>
        <w:t xml:space="preserve">Compute</w:t>
      </w:r>
      <w:r>
        <w:t xml:space="preserve"> </w:t>
      </w:r>
      <m:oMath>
        <m:sSub>
          <m:e>
            <m:r>
              <m:rPr>
                <m:scr m:val="script"/>
                <m:sty m:val="p"/>
              </m:rPr>
              <m:t>B</m:t>
            </m:r>
          </m:e>
          <m:sub>
            <m:r>
              <m:rPr>
                <m:sty m:val="p"/>
              </m:rPr>
              <m:t>Θ</m:t>
            </m:r>
          </m:sub>
        </m:sSub>
      </m:oMath>
      <w:r>
        <w:t xml:space="preserve">. When several candidates remain, test whether they are dynamically separable. Intervene on one and measure whether the other preserves its endogenous organization and role profile. Strong preservation supports multiple candidates; systematic collapse supports a larger joint system or unresolved overlap.</w:t>
      </w:r>
    </w:p>
    <w:bookmarkEnd w:id="40"/>
    <w:bookmarkStart w:id="41" w:name="stage-7-stress-test-the-boundary"/>
    <w:p>
      <w:pPr>
        <w:pStyle w:val="Heading3"/>
      </w:pPr>
      <w:r>
        <w:t xml:space="preserve">5.7 Stage 7: Stress-test the boundary</w:t>
      </w:r>
    </w:p>
    <w:p>
      <w:pPr>
        <w:pStyle w:val="FirstParagraph"/>
      </w:pPr>
      <w:r>
        <w:t xml:space="preserve">Repeat the analysis over the preregistered neighborhood of reasonable grains, horizons, estimators, and thresholds. Let</w:t>
      </w:r>
      <w:r>
        <w:t xml:space="preserve"> </w:t>
      </w:r>
      <m:oMath>
        <m:r>
          <m:rPr>
            <m:scr m:val="script"/>
            <m:sty m:val="p"/>
          </m:rPr>
          <m:t>N</m:t>
        </m:r>
        <m:r>
          <m:rPr>
            <m:sty m:val="p"/>
          </m:rPr>
          <m:t>(</m:t>
        </m:r>
        <m:r>
          <m:rPr>
            <m:sty m:val="p"/>
          </m:rPr>
          <m:t>Θ</m:t>
        </m:r>
        <m:r>
          <m:rPr>
            <m:sty m:val="p"/>
          </m:rPr>
          <m:t>)</m:t>
        </m:r>
      </m:oMath>
      <w:r>
        <w:t xml:space="preserve"> </w:t>
      </w:r>
      <w:r>
        <w:t xml:space="preserve">denote that neighborhood. One simple stability score is</w:t>
      </w:r>
    </w:p>
    <w:p>
      <w:pPr>
        <w:pStyle w:val="BodyText"/>
      </w:pPr>
      <m:oMathPara>
        <m:oMathParaPr>
          <m:jc m:val="center"/>
        </m:oMathParaPr>
        <m:oMath>
          <m:sSub>
            <m:e>
              <m:r>
                <m:t>R</m:t>
              </m:r>
            </m:e>
            <m:sub>
              <m:r>
                <m:t>B</m:t>
              </m:r>
            </m:sub>
          </m:sSub>
          <m:r>
            <m:rPr>
              <m:sty m:val="p"/>
            </m:rPr>
            <m:t>(</m:t>
          </m:r>
          <m:r>
            <m:t>S</m:t>
          </m:r>
          <m:r>
            <m:rPr>
              <m:sty m:val="p"/>
            </m:rPr>
            <m:t>)</m:t>
          </m:r>
          <m:r>
            <m:rPr>
              <m:sty m:val="p"/>
            </m:rPr>
            <m:t>=</m:t>
          </m:r>
          <m:f>
            <m:fPr>
              <m:type m:val="bar"/>
            </m:fPr>
            <m:num>
              <m:r>
                <m:t>1</m:t>
              </m:r>
            </m:num>
            <m:den>
              <m:r>
                <m:rPr>
                  <m:sty m:val="p"/>
                </m:rPr>
                <m:t>|</m:t>
              </m:r>
              <m:r>
                <m:rPr>
                  <m:scr m:val="script"/>
                  <m:sty m:val="p"/>
                </m:rPr>
                <m:t>N</m:t>
              </m:r>
              <m:r>
                <m:rPr>
                  <m:sty m:val="p"/>
                </m:rPr>
                <m:t>(</m:t>
              </m:r>
              <m:r>
                <m:rPr>
                  <m:sty m:val="p"/>
                </m:rPr>
                <m:t>Θ</m:t>
              </m:r>
              <m:r>
                <m:rPr>
                  <m:sty m:val="p"/>
                </m:rPr>
                <m:t>)</m:t>
              </m:r>
              <m:r>
                <m:rPr>
                  <m:sty m:val="p"/>
                </m:rPr>
                <m:t>|</m:t>
              </m:r>
            </m:den>
          </m:f>
          <m:nary>
            <m:naryPr>
              <m:chr m:val="∑"/>
              <m:limLoc m:val="undOvr"/>
              <m:subHide m:val="off"/>
              <m:supHide m:val="on"/>
            </m:naryPr>
            <m:sub>
              <m:sSup>
                <m:e>
                  <m:r>
                    <m:rPr>
                      <m:sty m:val="p"/>
                    </m:rPr>
                    <m:t>Θ</m:t>
                  </m:r>
                </m:e>
                <m:sup>
                  <m:r>
                    <m:rPr>
                      <m:sty m:val="p"/>
                    </m:rPr>
                    <m:t>′</m:t>
                  </m:r>
                </m:sup>
              </m:sSup>
              <m:r>
                <m:rPr>
                  <m:sty m:val="p"/>
                </m:rPr>
                <m:t>∈</m:t>
              </m:r>
              <m:r>
                <m:rPr>
                  <m:scr m:val="script"/>
                  <m:sty m:val="p"/>
                </m:rPr>
                <m:t>N</m:t>
              </m:r>
              <m:r>
                <m:rPr>
                  <m:sty m:val="p"/>
                </m:rPr>
                <m:t>(</m:t>
              </m:r>
              <m:r>
                <m:rPr>
                  <m:sty m:val="p"/>
                </m:rPr>
                <m:t>Θ</m:t>
              </m:r>
              <m:r>
                <m:rPr>
                  <m:sty m:val="p"/>
                </m:rPr>
                <m:t>)</m:t>
              </m:r>
            </m:sub>
            <m:sup>
              <m:r>
                <m:t>​</m:t>
              </m:r>
            </m:sup>
            <m:e>
              <m:limLow>
                <m:e>
                  <m:r>
                    <m:rPr>
                      <m:sty m:val="p"/>
                    </m:rPr>
                    <m:t>max</m:t>
                  </m:r>
                </m:e>
                <m:lim>
                  <m:sSup>
                    <m:e>
                      <m:r>
                        <m:t>S</m:t>
                      </m:r>
                    </m:e>
                    <m:sup>
                      <m:r>
                        <m:rPr>
                          <m:sty m:val="p"/>
                        </m:rPr>
                        <m:t>′</m:t>
                      </m:r>
                    </m:sup>
                  </m:sSup>
                  <m:r>
                    <m:rPr>
                      <m:sty m:val="p"/>
                    </m:rPr>
                    <m:t>∈</m:t>
                  </m:r>
                  <m:sSub>
                    <m:e>
                      <m:r>
                        <m:rPr>
                          <m:scr m:val="script"/>
                          <m:sty m:val="p"/>
                        </m:rPr>
                        <m:t>B</m:t>
                      </m:r>
                    </m:e>
                    <m:sub>
                      <m:sSup>
                        <m:e>
                          <m:r>
                            <m:rPr>
                              <m:sty m:val="p"/>
                            </m:rPr>
                            <m:t>Θ</m:t>
                          </m:r>
                        </m:e>
                        <m:sup>
                          <m:r>
                            <m:rPr>
                              <m:sty m:val="p"/>
                            </m:rPr>
                            <m:t>′</m:t>
                          </m:r>
                        </m:sup>
                      </m:sSup>
                    </m:sub>
                  </m:sSub>
                </m:lim>
              </m:limLow>
            </m:e>
          </m:nary>
          <m:r>
            <m:rPr>
              <m:sty m:val="p"/>
            </m:rPr>
            <m:t>Jaccard</m:t>
          </m:r>
          <m:r>
            <m:rPr>
              <m:sty m:val="p"/>
            </m:rPr>
            <m:t>(</m:t>
          </m:r>
          <m:r>
            <m:t>S</m:t>
          </m:r>
          <m:r>
            <m:rPr>
              <m:sty m:val="p"/>
            </m:rPr>
            <m:t>,</m:t>
          </m:r>
          <m:sSup>
            <m:e>
              <m:r>
                <m:t>S</m:t>
              </m:r>
            </m:e>
            <m:sup>
              <m:r>
                <m:rPr>
                  <m:sty m:val="p"/>
                </m:rPr>
                <m:t>′</m:t>
              </m:r>
            </m:sup>
          </m:sSup>
          <m:r>
            <m:rPr>
              <m:sty m:val="p"/>
            </m:rPr>
            <m:t>)</m:t>
          </m:r>
          <m:r>
            <m:rPr>
              <m:sty m:val="p"/>
            </m:rPr>
            <m:t>.</m:t>
          </m:r>
        </m:oMath>
      </m:oMathPara>
    </w:p>
    <w:p>
      <w:pPr>
        <w:pStyle w:val="FirstParagraph"/>
      </w:pPr>
      <w:r>
        <w:rPr>
          <w:b/>
          <w:bCs/>
        </w:rPr>
        <w:t xml:space="preserve">Plain-language reading.</w:t>
      </w:r>
      <w:r>
        <w:t xml:space="preserve"> </w:t>
      </w:r>
      <w:r>
        <w:t xml:space="preserve">Compare the selected node set with the closest selected set under each reasonable analysis. A boundary is robust when it remains largely the same rather than changing completely under small defensible choices.</w:t>
      </w:r>
    </w:p>
    <w:p>
      <w:pPr>
        <w:pStyle w:val="BodyText"/>
      </w:pPr>
      <w:r>
        <w:rPr>
          <w:b/>
          <w:bCs/>
        </w:rPr>
        <w:t xml:space="preserve">Caution.</w:t>
      </w:r>
      <w:r>
        <w:t xml:space="preserve"> </w:t>
      </w:r>
      <w:r>
        <w:t xml:space="preserve">Jaccard overlap is only illustrative. Weighted, hierarchical, or cross-grain candidates require a mapping appropriate to the representation. The robustness criterion must not silently privilege one parcellation.</w:t>
      </w:r>
    </w:p>
    <w:bookmarkEnd w:id="41"/>
    <w:bookmarkStart w:id="42" w:name="X4c73d99ea27f9a31933109d27633e9ce820e928"/>
    <w:p>
      <w:pPr>
        <w:pStyle w:val="Heading3"/>
      </w:pPr>
      <w:r>
        <w:t xml:space="preserve">5.8 Stage 8: Only then issue a consciousness result</w:t>
      </w:r>
    </w:p>
    <w:p>
      <w:pPr>
        <w:pStyle w:val="FirstParagraph"/>
      </w:pPr>
      <w:r>
        <w:t xml:space="preserve">The final report must pair the consciousness classification with its boundary status:</w:t>
      </w:r>
    </w:p>
    <w:p>
      <w:pPr>
        <w:pStyle w:val="BodyText"/>
      </w:pPr>
      <m:oMathPara>
        <m:oMathParaPr>
          <m:jc m:val="center"/>
        </m:oMathParaPr>
        <m:oMath>
          <m:r>
            <m:rPr>
              <m:sty m:val="p"/>
            </m:rPr>
            <m:t>⟨</m:t>
          </m:r>
          <m:r>
            <m:rPr>
              <m:nor/>
              <m:sty m:val="p"/>
            </m:rPr>
            <m:t>boundary status</m:t>
          </m:r>
          <m:r>
            <m:rPr>
              <m:sty m:val="p"/>
            </m:rPr>
            <m:t>,</m:t>
          </m:r>
          <m:sSub>
            <m:e>
              <m:r>
                <m:t>S</m:t>
              </m:r>
            </m:e>
            <m:sub>
              <m:r>
                <m:t>g</m:t>
              </m:r>
              <m:r>
                <m:rPr>
                  <m:sty m:val="p"/>
                </m:rPr>
                <m:t>,</m:t>
              </m:r>
              <m:r>
                <m:rPr>
                  <m:sty m:val="p"/>
                </m:rPr>
                <m:t>Δ</m:t>
              </m:r>
            </m:sub>
          </m:sSub>
          <m:r>
            <m:rPr>
              <m:sty m:val="p"/>
            </m:rPr>
            <m:t>,</m:t>
          </m:r>
          <m:r>
            <m:rPr>
              <m:nor/>
              <m:sty m:val="p"/>
            </m:rPr>
            <m:t>consciousness result</m:t>
          </m:r>
          <m:r>
            <m:rPr>
              <m:sty m:val="p"/>
            </m:rPr>
            <m:t>,</m:t>
          </m:r>
          <m:r>
            <m:rPr>
              <m:nor/>
              <m:sty m:val="p"/>
            </m:rPr>
            <m:t>sensitivity profile</m:t>
          </m:r>
          <m:r>
            <m:rPr>
              <m:sty m:val="p"/>
            </m:rPr>
            <m:t>⟩</m:t>
          </m:r>
          <m:r>
            <m:rPr>
              <m:sty m:val="p"/>
            </m:rPr>
            <m:t>.</m:t>
          </m:r>
        </m:oMath>
      </m:oMathPara>
    </w:p>
    <w:p>
      <w:pPr>
        <w:pStyle w:val="FirstParagraph"/>
      </w:pPr>
      <w:r>
        <w:t xml:space="preserve">A bare statement that</w:t>
      </w:r>
      <w:r>
        <w:t xml:space="preserve"> </w:t>
      </w:r>
      <w:r>
        <w:t xml:space="preserve">“the system is conscious”</w:t>
      </w:r>
      <w:r>
        <w:t xml:space="preserve"> </w:t>
      </w:r>
      <w:r>
        <w:t xml:space="preserve">is incomplete when reasonable boundaries support different answers.</w:t>
      </w:r>
    </w:p>
    <w:bookmarkEnd w:id="42"/>
    <w:bookmarkEnd w:id="43"/>
    <w:bookmarkStart w:id="51" w:name="worked-applications"/>
    <w:p>
      <w:pPr>
        <w:pStyle w:val="Heading2"/>
      </w:pPr>
      <w:r>
        <w:t xml:space="preserve">6. Worked Applications</w:t>
      </w:r>
    </w:p>
    <w:bookmarkStart w:id="44" w:name="nested-conscious-candidates"/>
    <w:p>
      <w:pPr>
        <w:pStyle w:val="Heading3"/>
      </w:pPr>
      <w:r>
        <w:t xml:space="preserve">6.1 Nested conscious candidates</w:t>
      </w:r>
    </w:p>
    <w:p>
      <w:pPr>
        <w:pStyle w:val="FirstParagraph"/>
      </w:pPr>
      <w:r>
        <w:t xml:space="preserve">Biological and artificial systems are hierarchically organized. A cortical column sits within a region, a region within a network, and a network within a brain-body system. A model instance sits within an agent loop, which sits within a multi-agent service.</w:t>
      </w:r>
    </w:p>
    <w:p>
      <w:pPr>
        <w:pStyle w:val="BodyText"/>
      </w:pPr>
      <w:r>
        <w:t xml:space="preserve">The proposal does not assume that every autonomous layer is a subject. Candidate generation may produce nested sets, but role completeness and inclusion-minimality filter them. At a fixed</w:t>
      </w:r>
      <w:r>
        <w:t xml:space="preserve"> </w:t>
      </w:r>
      <m:oMath>
        <m:r>
          <m:rPr>
            <m:sty m:val="p"/>
          </m:rPr>
          <m:t>Θ</m:t>
        </m:r>
      </m:oMath>
      <w:r>
        <w:t xml:space="preserve">, if</w:t>
      </w:r>
      <w:r>
        <w:t xml:space="preserve"> </w:t>
      </w:r>
      <m:oMath>
        <m:sSub>
          <m:e>
            <m:r>
              <m:t>S</m:t>
            </m:r>
          </m:e>
          <m:sub>
            <m:r>
              <m:t>1</m:t>
            </m:r>
          </m:sub>
        </m:sSub>
        <m:r>
          <m:rPr>
            <m:sty m:val="p"/>
          </m:rPr>
          <m:t>⊂</m:t>
        </m:r>
        <m:sSub>
          <m:e>
            <m:r>
              <m:t>S</m:t>
            </m:r>
          </m:e>
          <m:sub>
            <m:r>
              <m:t>2</m:t>
            </m:r>
          </m:sub>
        </m:sSub>
      </m:oMath>
      <w:r>
        <w:t xml:space="preserve"> </w:t>
      </w:r>
      <w:r>
        <w:t xml:space="preserve">and both qualify,</w:t>
      </w:r>
      <w:r>
        <w:t xml:space="preserve"> </w:t>
      </w:r>
      <m:oMath>
        <m:sSub>
          <m:e>
            <m:r>
              <m:t>S</m:t>
            </m:r>
          </m:e>
          <m:sub>
            <m:r>
              <m:t>1</m:t>
            </m:r>
          </m:sub>
        </m:sSub>
      </m:oMath>
      <w:r>
        <w:t xml:space="preserve"> </w:t>
      </w:r>
      <w:r>
        <w:t xml:space="preserve">is selected unless</w:t>
      </w:r>
      <w:r>
        <w:t xml:space="preserve"> </w:t>
      </w:r>
      <m:oMath>
        <m:sSub>
          <m:e>
            <m:r>
              <m:t>S</m:t>
            </m:r>
          </m:e>
          <m:sub>
            <m:r>
              <m:t>2</m:t>
            </m:r>
          </m:sub>
        </m:sSub>
      </m:oMath>
      <w:r>
        <w:t xml:space="preserve"> </w:t>
      </w:r>
      <w:r>
        <w:t xml:space="preserve">realizes an irreducible joint organization that cannot be represented as the smaller candidate plus interfaces. At different grains or horizons, both may remain in a reported hierarchy.</w:t>
      </w:r>
    </w:p>
    <w:p>
      <w:pPr>
        <w:pStyle w:val="BodyText"/>
      </w:pPr>
      <w:r>
        <w:t xml:space="preserve">This is a methodological exclusion rule, not a proof that nested consciousness is metaphysically impossible. Evidence of two behaviorally or perturbationally dissociable role-complete dynamics at different scales would pressure the rule. The correct response would be an explicit multiscale theory of subjecthood, not silent selection of the preferred level.</w:t>
      </w:r>
    </w:p>
    <w:bookmarkEnd w:id="44"/>
    <w:bookmarkStart w:id="45" w:name="split-brains"/>
    <w:p>
      <w:pPr>
        <w:pStyle w:val="Heading3"/>
      </w:pPr>
      <w:r>
        <w:t xml:space="preserve">6.2 Split brains</w:t>
      </w:r>
    </w:p>
    <w:p>
      <w:pPr>
        <w:pStyle w:val="FirstParagraph"/>
      </w:pPr>
      <w:r>
        <w:t xml:space="preserve">Callosal disconnection is a boundary intervention. Classical interpretations infer two conscious streams; more recent work emphasizes evidence for a single conscious agent with divided perceptual access, and the empirical picture remains contested (Pinto et al., 2017; de Haan et al., 2020).</w:t>
      </w:r>
    </w:p>
    <w:p>
      <w:pPr>
        <w:pStyle w:val="BodyText"/>
      </w:pPr>
      <w:r>
        <w:t xml:space="preserve">The present method does not decide the issue from anatomy alone. Before surgery, the candidate family may contain a whole-brain thalamocortical system. After disconnection, investigators should test left, right, and residual whole-system candidates under matched tasks and resting regimes. The key questions are:</w:t>
      </w:r>
    </w:p>
    <w:p>
      <w:pPr>
        <w:pStyle w:val="Compact"/>
        <w:numPr>
          <w:ilvl w:val="0"/>
          <w:numId w:val="1004"/>
        </w:numPr>
      </w:pPr>
      <w:r>
        <w:t xml:space="preserve">Does each hemisphere retain substantial</w:t>
      </w:r>
      <w:r>
        <w:t xml:space="preserve"> </w:t>
      </w:r>
      <m:oMath>
        <m:sSub>
          <m:e>
            <m:r>
              <m:t>J</m:t>
            </m:r>
          </m:e>
          <m:sub>
            <m:r>
              <m:rPr>
                <m:sty m:val="p"/>
              </m:rPr>
              <m:t>s</m:t>
            </m:r>
            <m:r>
              <m:rPr>
                <m:sty m:val="p"/>
              </m:rPr>
              <m:t>e</m:t>
            </m:r>
            <m:r>
              <m:rPr>
                <m:sty m:val="p"/>
              </m:rPr>
              <m:t>l</m:t>
            </m:r>
            <m:r>
              <m:rPr>
                <m:sty m:val="p"/>
              </m:rPr>
              <m:t>f</m:t>
            </m:r>
          </m:sub>
        </m:sSub>
      </m:oMath>
      <w:r>
        <w:t xml:space="preserve"> </w:t>
      </w:r>
      <w:r>
        <w:t xml:space="preserve">and reduced dependence on the other?</w:t>
      </w:r>
    </w:p>
    <w:p>
      <w:pPr>
        <w:pStyle w:val="Compact"/>
        <w:numPr>
          <w:ilvl w:val="0"/>
          <w:numId w:val="1004"/>
        </w:numPr>
      </w:pPr>
      <w:r>
        <w:t xml:space="preserve">Do subcortical and brainstem loops preserve a larger joint candidate?</w:t>
      </w:r>
    </w:p>
    <w:p>
      <w:pPr>
        <w:pStyle w:val="Compact"/>
        <w:numPr>
          <w:ilvl w:val="0"/>
          <w:numId w:val="1004"/>
        </w:numPr>
      </w:pPr>
      <w:r>
        <w:t xml:space="preserve">Can perturbing one hemisphere leave the other’s integration, availability, recurrence, and viability intact?</w:t>
      </w:r>
    </w:p>
    <w:p>
      <w:pPr>
        <w:pStyle w:val="Compact"/>
        <w:numPr>
          <w:ilvl w:val="0"/>
          <w:numId w:val="1004"/>
        </w:numPr>
      </w:pPr>
      <w:r>
        <w:t xml:space="preserve">Does cross-cueing restore joint organization, showing that apparent separation was task-specific rather than constitutive?</w:t>
      </w:r>
    </w:p>
    <w:p>
      <w:pPr>
        <w:pStyle w:val="FirstParagraph"/>
      </w:pPr>
      <w:r>
        <w:t xml:space="preserve">If two lateralized systems become inclusion-minimal and perturbationally separable, the method returns multiple candidates. If both depend on a shared recurrent subcortical organization, a larger candidate may remain. If answers change across tasks or horizons, the result is boundary-indeterminate or layered rather than a forced count of subjects.</w:t>
      </w:r>
    </w:p>
    <w:bookmarkEnd w:id="45"/>
    <w:bookmarkStart w:id="46" w:name="cortical-subcortical-organization"/>
    <w:p>
      <w:pPr>
        <w:pStyle w:val="Heading3"/>
      </w:pPr>
      <w:r>
        <w:t xml:space="preserve">6.3 Cortical-subcortical organization</w:t>
      </w:r>
    </w:p>
    <w:p>
      <w:pPr>
        <w:pStyle w:val="FirstParagraph"/>
      </w:pPr>
      <w:r>
        <w:t xml:space="preserve">A cortex-only boundary can inflate apparent self-sufficiency by treating thalamic or brainstem activity as background input. A whole-brain boundary can conceal functionally segregated cortical dynamics by averaging them with common arousal systems. The criterion therefore begins with causal contributions, not anatomical prestige.</w:t>
      </w:r>
    </w:p>
    <w:p>
      <w:pPr>
        <w:pStyle w:val="BodyText"/>
      </w:pPr>
      <w:r>
        <w:t xml:space="preserve">Subcortical nodes belong to the candidate when their specific dynamics-not merely tonic support-are required for the integrated, available, recurrent profile and generic replacement fails. A constant arousal signal that can replace a brainstem contribution at the relevant horizon supports an enabling interpretation. A thalamic loop whose patterned perturbation reorganizes cortical availability and recurrence supports a constitutive interpretation. This operationalizes the core paper’s insistence that the system is not cortex by stipulation.</w:t>
      </w:r>
    </w:p>
    <w:bookmarkEnd w:id="46"/>
    <w:bookmarkStart w:id="47" w:name="brain-body-loops"/>
    <w:p>
      <w:pPr>
        <w:pStyle w:val="Heading3"/>
      </w:pPr>
      <w:r>
        <w:t xml:space="preserve">6.4 Brain-body loops</w:t>
      </w:r>
    </w:p>
    <w:p>
      <w:pPr>
        <w:pStyle w:val="FirstParagraph"/>
      </w:pPr>
      <w:r>
        <w:t xml:space="preserve">Internal state is realized by distributed communication loops across brain, body, and time (Chen et al., 2021). Interoceptive and autonomic dynamics can shape arousal, affect, action-readiness, and perceptual processing. Yet causal relevance alone does not place every organ inside the momentary subject boundary.</w:t>
      </w:r>
    </w:p>
    <w:p>
      <w:pPr>
        <w:pStyle w:val="BodyText"/>
      </w:pPr>
      <w:r>
        <w:t xml:space="preserve">The replacement and horizon tests do the work. Over a 300 ms perceptual episode, external maintenance of oxygenation and glucose may preserve the neural role profile despite temporary exclusion of peripheral dynamics. Those processes are enabling at that horizon. For an affective episode unfolding over tens of seconds, patterned cardiac, visceral, endocrine, and vagal loops may resist generic replacement and contribute directly to recurrent availability. A larger brain-body candidate can then become appropriate.</w:t>
      </w:r>
    </w:p>
    <w:p>
      <w:pPr>
        <w:pStyle w:val="BodyText"/>
      </w:pPr>
      <w:r>
        <w:t xml:space="preserve">This result is neither skull-bound by assumption nor automatically extended. The boundary is content-, regime-, and horizon-sensitive. Claims about</w:t>
      </w:r>
      <w:r>
        <w:t xml:space="preserve"> </w:t>
      </w:r>
      <w:r>
        <w:t xml:space="preserve">“the embodied subject”</w:t>
      </w:r>
      <w:r>
        <w:t xml:space="preserve"> </w:t>
      </w:r>
      <w:r>
        <w:t xml:space="preserve">should specify which bodily variables enter the causal organization and what perturbation would show that they are constitutive.</w:t>
      </w:r>
    </w:p>
    <w:bookmarkEnd w:id="47"/>
    <w:bookmarkStart w:id="48" w:name="coupled-agents"/>
    <w:p>
      <w:pPr>
        <w:pStyle w:val="Heading3"/>
      </w:pPr>
      <w:r>
        <w:t xml:space="preserve">6.5 Coupled agents</w:t>
      </w:r>
    </w:p>
    <w:p>
      <w:pPr>
        <w:pStyle w:val="FirstParagraph"/>
      </w:pPr>
      <w:r>
        <w:t xml:space="preserve">Two agents can coordinate tightly without becoming one subject. Shared stimulus, imitation, conversational turn-taking, and mutual prediction can produce high correlation. The dyad qualifies as a higher-level candidate only if joint dynamics show endogenous causal capacity and sufficient autonomy that are not reducible to two complete agents exchanging inputs.</w:t>
      </w:r>
    </w:p>
    <w:p>
      <w:pPr>
        <w:pStyle w:val="BodyText"/>
      </w:pPr>
      <w:r>
        <w:t xml:space="preserve">The decisive comparison is among</w:t>
      </w:r>
      <w:r>
        <w:t xml:space="preserve"> </w:t>
      </w:r>
      <m:oMath>
        <m:sSub>
          <m:e>
            <m:r>
              <m:t>S</m:t>
            </m:r>
          </m:e>
          <m:sub>
            <m:r>
              <m:t>A</m:t>
            </m:r>
          </m:sub>
        </m:sSub>
      </m:oMath>
      <w:r>
        <w:t xml:space="preserve">,</w:t>
      </w:r>
      <w:r>
        <w:t xml:space="preserve"> </w:t>
      </w:r>
      <m:oMath>
        <m:sSub>
          <m:e>
            <m:r>
              <m:t>S</m:t>
            </m:r>
          </m:e>
          <m:sub>
            <m:r>
              <m:t>B</m:t>
            </m:r>
          </m:sub>
        </m:sSub>
      </m:oMath>
      <w:r>
        <w:t xml:space="preserve">, and</w:t>
      </w:r>
      <w:r>
        <w:t xml:space="preserve"> </w:t>
      </w:r>
      <m:oMath>
        <m:sSub>
          <m:e>
            <m:r>
              <m:t>S</m:t>
            </m:r>
          </m:e>
          <m:sub>
            <m:r>
              <m:t>A</m:t>
            </m:r>
            <m:r>
              <m:t>B</m:t>
            </m:r>
          </m:sub>
        </m:sSub>
      </m:oMath>
      <w:r>
        <w:t xml:space="preserve">. If each individual remains role-complete and dynamically separable when the interaction channel is perturbed, the method returns two candidates plus coupling. If neither individual realizes the role bundle alone, while the dyad sustains irreducible recurrent availability and survives component-level perturbations through joint compensation,</w:t>
      </w:r>
      <w:r>
        <w:t xml:space="preserve"> </w:t>
      </w:r>
      <m:oMath>
        <m:sSub>
          <m:e>
            <m:r>
              <m:t>S</m:t>
            </m:r>
          </m:e>
          <m:sub>
            <m:r>
              <m:t>A</m:t>
            </m:r>
            <m:r>
              <m:t>B</m:t>
            </m:r>
          </m:sub>
        </m:sSub>
      </m:oMath>
      <w:r>
        <w:t xml:space="preserve"> </w:t>
      </w:r>
      <w:r>
        <w:t xml:space="preserve">becomes a serious higher-level candidate. If both individual and dyadic descriptions qualify at different horizons, the hierarchy must be reported.</w:t>
      </w:r>
    </w:p>
    <w:p>
      <w:pPr>
        <w:pStyle w:val="BodyText"/>
      </w:pPr>
      <w:r>
        <w:t xml:space="preserve">The proposal thus sets a high bar for group subjects without ruling them out by definition. Communication bandwidth is not enough; a shared database or language does not itself create one point of view.</w:t>
      </w:r>
    </w:p>
    <w:bookmarkEnd w:id="48"/>
    <w:bookmarkStart w:id="49" w:name="organoid-computer-systems"/>
    <w:p>
      <w:pPr>
        <w:pStyle w:val="Heading3"/>
      </w:pPr>
      <w:r>
        <w:t xml:space="preserve">6.6 Organoid-computer systems</w:t>
      </w:r>
    </w:p>
    <w:p>
      <w:pPr>
        <w:pStyle w:val="FirstParagraph"/>
      </w:pPr>
      <w:r>
        <w:t xml:space="preserve">Closed-loop neural cultures coupled to simulated environments can adapt their activity under structured feedback (Kagan et al., 2022). Organoid-intelligence programs propose richer biological computing interfaces (Smirnova et al., 2023). These systems make boundary ambiguity unavoidable. Is the candidate the living tissue, tissue plus electrode array, tissue plus digital controller, or the full closed loop including a simulated environment?</w:t>
      </w:r>
    </w:p>
    <w:p>
      <w:pPr>
        <w:pStyle w:val="BodyText"/>
      </w:pPr>
      <w:r>
        <w:t xml:space="preserve">The answer depends on causal role. If the computer merely supplies replaceable stimulation and records output, it is an interface. If it implements indispensable memory, arbitration, recurrence, or viability control such that generic replacement does not restore the joint role profile, it may be constitutive of a hybrid candidate. If the culture’s endogenous trajectory is largely imposed by the controller, the assembly may fail sufficient autonomy even while performing a task.</w:t>
      </w:r>
    </w:p>
    <w:p>
      <w:pPr>
        <w:pStyle w:val="BodyText"/>
      </w:pPr>
      <w:r>
        <w:t xml:space="preserve">No outcome licenses a consciousness attribution by itself. The procedure first identifies what system could be tested. It also blocks a common inflation: labeling the entire experimental apparatus conscious because closing the loop improves learning.</w:t>
      </w:r>
    </w:p>
    <w:bookmarkEnd w:id="49"/>
    <w:bookmarkStart w:id="50" w:name="distributed-artificial-intelligence"/>
    <w:p>
      <w:pPr>
        <w:pStyle w:val="Heading3"/>
      </w:pPr>
      <w:r>
        <w:t xml:space="preserve">6.7 Distributed artificial intelligence</w:t>
      </w:r>
    </w:p>
    <w:p>
      <w:pPr>
        <w:pStyle w:val="FirstParagraph"/>
      </w:pPr>
      <w:r>
        <w:t xml:space="preserve">An artificial</w:t>
      </w:r>
      <w:r>
        <w:t xml:space="preserve"> </w:t>
      </w:r>
      <w:r>
        <w:t xml:space="preserve">“agent”</w:t>
      </w:r>
      <w:r>
        <w:t xml:space="preserve"> </w:t>
      </w:r>
      <w:r>
        <w:t xml:space="preserve">may consist of a stateless model call, prompt template, context window, retrieval service, persistent memory, scheduler, tool processes, evaluators, and human interventions distributed across machines. Product names and user interfaces are not causal boundaries.</w:t>
      </w:r>
    </w:p>
    <w:p>
      <w:pPr>
        <w:pStyle w:val="BodyText"/>
      </w:pPr>
      <w:r>
        <w:t xml:space="preserve">Candidate generation should follow the running architecture. A base model invoked once may have high internal transformation but little recurrent continuity or viability across calls. An orchestrated agent loop may add recurrence, global availability, and persistent state, yet remain externally driven if a human or scheduler supplies each transition. A multi-agent system may contain several autonomous loops, one larger workspace-like loop, or neither.</w:t>
      </w:r>
    </w:p>
    <w:p>
      <w:pPr>
        <w:pStyle w:val="BodyText"/>
      </w:pPr>
      <w:r>
        <w:t xml:space="preserve">The method requires service ablations, state resets, message delays, memory substitution, controller perturbations, and tests across runtime horizons. Components enter the candidate only when their specific causal dynamics are required for the joint organization. Mere API connectivity, shared storage, or common ownership does not establish one system. This prevents the boundary from expanding opportunistically from a model to an entire data center whenever a broader diagram improves the preferred consciousness score.</w:t>
      </w:r>
    </w:p>
    <w:p>
      <w:pPr>
        <w:pStyle w:val="BodyText"/>
      </w:pPr>
      <w:r>
        <w:t xml:space="preserve">Proposals to evaluate artificial systems through indicators drawn from global-workspace, recurrent-processing, higher-order, predictive-processing, and attention-schema theories make boundary discipline urgent (Butlin et al., 2023). Workspace-inspired artificial architectures also illustrate why a latent workspace or message bus cannot be evaluated apart from the modules, persistence mechanisms, and control loops to which it is causally related (VanRullen &amp; Kanai, 2021).</w:t>
      </w:r>
    </w:p>
    <w:bookmarkEnd w:id="50"/>
    <w:bookmarkEnd w:id="51"/>
    <w:bookmarkStart w:id="57" w:name="relation-to-existing-approaches"/>
    <w:p>
      <w:pPr>
        <w:pStyle w:val="Heading2"/>
      </w:pPr>
      <w:r>
        <w:t xml:space="preserve">7. Relation to Existing Approaches</w:t>
      </w:r>
    </w:p>
    <w:bookmarkStart w:id="52" w:name="Xa2c1a6e71ae8aac6768638dd84b6d74c72728da"/>
    <w:p>
      <w:pPr>
        <w:pStyle w:val="Heading3"/>
      </w:pPr>
      <w:r>
        <w:t xml:space="preserve">7.1 Integrated information and causal emergence</w:t>
      </w:r>
    </w:p>
    <w:p>
      <w:pPr>
        <w:pStyle w:val="FirstParagraph"/>
      </w:pPr>
      <w:r>
        <w:t xml:space="preserve">Integrated information theory directly addresses causal borders through exclusion and maximal irreducibility. Its insistence that consciousness has a definite grain and border makes the boundary problem explicit (Albantakis et al., 2023). Work on causal emergence also shows that macrovariables can possess stronger effective causal organization than microvariables (Hoel et al., 2013; Marshall et al., 2018).</w:t>
      </w:r>
    </w:p>
    <w:p>
      <w:pPr>
        <w:pStyle w:val="BodyText"/>
      </w:pPr>
      <w:r>
        <w:t xml:space="preserve">The present proposal accepts the need for causal, multiscale comparison but separates individuation from the final consciousness measure. A local maximum of integrated information is a theory-internal subject criterion. The autonomy-first family</w:t>
      </w:r>
      <w:r>
        <w:t xml:space="preserve"> </w:t>
      </w:r>
      <m:oMath>
        <m:sSub>
          <m:e>
            <m:r>
              <m:rPr>
                <m:scr m:val="script"/>
                <m:sty m:val="p"/>
              </m:rPr>
              <m:t>P</m:t>
            </m:r>
          </m:e>
          <m:sub>
            <m:r>
              <m:rPr>
                <m:sty m:val="p"/>
              </m:rPr>
              <m:t>Θ</m:t>
            </m:r>
          </m:sub>
        </m:sSub>
      </m:oMath>
      <w:r>
        <w:t xml:space="preserve"> </w:t>
      </w:r>
      <w:r>
        <w:t xml:space="preserve">supplies an external methodological check: would the same candidate be nominated without using the quantity that is supposed to establish consciousness? Disagreement between the two is scientifically informative.</w:t>
      </w:r>
    </w:p>
    <w:bookmarkEnd w:id="52"/>
    <w:bookmarkStart w:id="53" w:name="markov-blankets-and-active-inference"/>
    <w:p>
      <w:pPr>
        <w:pStyle w:val="Heading3"/>
      </w:pPr>
      <w:r>
        <w:t xml:space="preserve">7.2 Markov blankets and active inference</w:t>
      </w:r>
    </w:p>
    <w:p>
      <w:pPr>
        <w:pStyle w:val="FirstParagraph"/>
      </w:pPr>
      <w:r>
        <w:t xml:space="preserve">Markov blankets formalize conditional-independence boundaries between internal and external states mediated by blanket states. Hierarchical and neural applications show how nested partitions can emerge across scales (Friston et al., 2021; Hipólito et al., 2021). This is valuable for candidate generation.</w:t>
      </w:r>
    </w:p>
    <w:p>
      <w:pPr>
        <w:pStyle w:val="BodyText"/>
      </w:pPr>
      <w:r>
        <w:t xml:space="preserve">However, a statistical blanket is neither sufficient for agency nor evidence of consciousness. Results can depend on model class, steady-state assumptions, variable choice, and the distinction between statistical and causal separation. The current criterion therefore treats blankets as proposals to test through interventions, endogenous capacity, role completeness, and robustness.</w:t>
      </w:r>
    </w:p>
    <w:bookmarkEnd w:id="53"/>
    <w:bookmarkStart w:id="54" w:name="biological-autonomy-and-individuality"/>
    <w:p>
      <w:pPr>
        <w:pStyle w:val="Heading3"/>
      </w:pPr>
      <w:r>
        <w:t xml:space="preserve">7.3 Biological autonomy and individuality</w:t>
      </w:r>
    </w:p>
    <w:p>
      <w:pPr>
        <w:pStyle w:val="FirstParagraph"/>
      </w:pPr>
      <w:r>
        <w:t xml:space="preserve">Autonomy theory emphasizes self-maintaining organization, operational closure, and closure of constraints (Moreno &amp; Mossio, 2015; Montévil &amp; Mossio, 2015). Information-theoretic approaches quantify degrees to which a process predicts or causes its own future relative to its environment (Bertschinger et al., 2008; Seth, 2010; Krakauer et al., 2020).</w:t>
      </w:r>
    </w:p>
    <w:p>
      <w:pPr>
        <w:pStyle w:val="BodyText"/>
      </w:pPr>
      <w:r>
        <w:t xml:space="preserve">The present criterion borrows this individuation pressure but narrows its use. A conscious candidate need not be a biological individual, reproduce, or manufacture all of its own constraints. Conversely, a biologically autonomous cell need not be conscious. Sufficient dynamical autonomy is an eligibility condition tailored to causal bearers of a consciousness test, not a general theory of life.</w:t>
      </w:r>
    </w:p>
    <w:bookmarkEnd w:id="54"/>
    <w:bookmarkStart w:id="55" w:name="X3acbf7df88ac53599e7ef58762611e923213a27"/>
    <w:p>
      <w:pPr>
        <w:pStyle w:val="Heading3"/>
      </w:pPr>
      <w:r>
        <w:t xml:space="preserve">7.4 Global workspace and recurrent-processing approaches</w:t>
      </w:r>
    </w:p>
    <w:p>
      <w:pPr>
        <w:pStyle w:val="FirstParagraph"/>
      </w:pPr>
      <w:r>
        <w:t xml:space="preserve">Workspace theories describe a distributed architecture in which selected contents become broadly available to specialized processors (Mashour et al., 2020). Recurrent-processing theories emphasize feedback within and between sensory systems (Lamme, 2006). Both require a domain: availability to which processors, and recurrence inside which network?</w:t>
      </w:r>
    </w:p>
    <w:p>
      <w:pPr>
        <w:pStyle w:val="BodyText"/>
      </w:pPr>
      <w:r>
        <w:t xml:space="preserve">The boundary-first method prevents</w:t>
      </w:r>
      <w:r>
        <w:t xml:space="preserve"> </w:t>
      </w:r>
      <w:r>
        <w:t xml:space="preserve">“global”</w:t>
      </w:r>
      <w:r>
        <w:t xml:space="preserve"> </w:t>
      </w:r>
      <w:r>
        <w:t xml:space="preserve">from meaning whatever set makes broadcast broad. Candidate processors must belong to a causally admissible system before reach is calculated. Likewise, a recurrent loop is not system-level merely because it is closed; it must participate in the inclusion-minimal role-complete candidate.</w:t>
      </w:r>
    </w:p>
    <w:bookmarkEnd w:id="55"/>
    <w:bookmarkStart w:id="56" w:name="embodied-and-extended-approaches"/>
    <w:p>
      <w:pPr>
        <w:pStyle w:val="Heading3"/>
      </w:pPr>
      <w:r>
        <w:t xml:space="preserve">7.5 Embodied and extended approaches</w:t>
      </w:r>
    </w:p>
    <w:p>
      <w:pPr>
        <w:pStyle w:val="FirstParagraph"/>
      </w:pPr>
      <w:r>
        <w:t xml:space="preserve">Embodied and enactive approaches emphasize brain-body-world coupling, while extended-mind arguments show how external resources can enter cognitive routines (Clark &amp; Chalmers, 1998; Thompson &amp; Varela, 2001). The criterion agrees that the skull is not an a priori causal boundary. It adds a burden of proof: reciprocal relevance, specific constitutive contribution, and irreducibility under replacement must be demonstrated at the target horizon.</w:t>
      </w:r>
    </w:p>
    <w:p>
      <w:pPr>
        <w:pStyle w:val="BodyText"/>
      </w:pPr>
      <w:r>
        <w:t xml:space="preserve">This is stricter than counting any reliable scaffold as part of the conscious subject. A notebook, prosthesis, or partner may extend a cognitive task without joining the minimal system that realizes phenomenal presence.</w:t>
      </w:r>
    </w:p>
    <w:bookmarkEnd w:id="56"/>
    <w:bookmarkEnd w:id="57"/>
    <w:bookmarkStart w:id="62" w:name="empirical-program-and-falsification"/>
    <w:p>
      <w:pPr>
        <w:pStyle w:val="Heading2"/>
      </w:pPr>
      <w:r>
        <w:t xml:space="preserve">8. Empirical Program and Falsification</w:t>
      </w:r>
    </w:p>
    <w:bookmarkStart w:id="58" w:name="benchmark-systems"/>
    <w:p>
      <w:pPr>
        <w:pStyle w:val="Heading3"/>
      </w:pPr>
      <w:r>
        <w:t xml:space="preserve">8.1 Benchmark systems</w:t>
      </w:r>
    </w:p>
    <w:p>
      <w:pPr>
        <w:pStyle w:val="FirstParagraph"/>
      </w:pPr>
      <w:r>
        <w:t xml:space="preserve">The method should first be tested where perturbations and boundaries are comparatively tractable:</w:t>
      </w:r>
    </w:p>
    <w:p>
      <w:pPr>
        <w:pStyle w:val="Compact"/>
        <w:numPr>
          <w:ilvl w:val="0"/>
          <w:numId w:val="1005"/>
        </w:numPr>
      </w:pPr>
      <w:r>
        <w:t xml:space="preserve">simulated recurrent networks with known transition kernels;</w:t>
      </w:r>
    </w:p>
    <w:p>
      <w:pPr>
        <w:pStyle w:val="Compact"/>
        <w:numPr>
          <w:ilvl w:val="0"/>
          <w:numId w:val="1005"/>
        </w:numPr>
      </w:pPr>
      <w:r>
        <w:t xml:space="preserve">modular robots whose controllers and sensors can be disconnected or replaced;</w:t>
      </w:r>
    </w:p>
    <w:p>
      <w:pPr>
        <w:pStyle w:val="Compact"/>
        <w:numPr>
          <w:ilvl w:val="0"/>
          <w:numId w:val="1005"/>
        </w:numPr>
      </w:pPr>
      <w:r>
        <w:t xml:space="preserve">cultured neural networks coupled to controllable interfaces;</w:t>
      </w:r>
    </w:p>
    <w:p>
      <w:pPr>
        <w:pStyle w:val="Compact"/>
        <w:numPr>
          <w:ilvl w:val="0"/>
          <w:numId w:val="1005"/>
        </w:numPr>
      </w:pPr>
      <w:r>
        <w:t xml:space="preserve">animal preparations with reversible commissural or thalamic perturbations;</w:t>
      </w:r>
    </w:p>
    <w:p>
      <w:pPr>
        <w:pStyle w:val="Compact"/>
        <w:numPr>
          <w:ilvl w:val="0"/>
          <w:numId w:val="1005"/>
        </w:numPr>
      </w:pPr>
      <w:r>
        <w:t xml:space="preserve">artificial agent architectures with inspectable memory, routing, and scheduling;</w:t>
      </w:r>
    </w:p>
    <w:p>
      <w:pPr>
        <w:pStyle w:val="Compact"/>
        <w:numPr>
          <w:ilvl w:val="0"/>
          <w:numId w:val="1005"/>
        </w:numPr>
      </w:pPr>
      <w:r>
        <w:t xml:space="preserve">human paradigms using transient disconnection, state changes, or well-characterized lesions.</w:t>
      </w:r>
    </w:p>
    <w:p>
      <w:pPr>
        <w:pStyle w:val="FirstParagraph"/>
      </w:pPr>
      <w:r>
        <w:t xml:space="preserve">Success means recovering known causal units, correctly refusing inert or externally driven pseudo-units, and producing stable candidates under held-out perturbations. Consciousness claims should come later.</w:t>
      </w:r>
    </w:p>
    <w:bookmarkEnd w:id="58"/>
    <w:bookmarkStart w:id="59" w:name="discriminating-predictions"/>
    <w:p>
      <w:pPr>
        <w:pStyle w:val="Heading3"/>
      </w:pPr>
      <w:r>
        <w:t xml:space="preserve">8.2 Discriminating predictions</w:t>
      </w:r>
    </w:p>
    <w:p>
      <w:pPr>
        <w:pStyle w:val="FirstParagraph"/>
      </w:pPr>
      <w:r>
        <w:t xml:space="preserve">The proposal predicts:</w:t>
      </w:r>
    </w:p>
    <w:p>
      <w:pPr>
        <w:pStyle w:val="Compact"/>
        <w:numPr>
          <w:ilvl w:val="0"/>
          <w:numId w:val="1006"/>
        </w:numPr>
      </w:pPr>
      <w:r>
        <w:t xml:space="preserve">Consciousness-relevant scores will show substantial boundary variance in split, hybrid, and distributed systems.</w:t>
      </w:r>
    </w:p>
    <w:p>
      <w:pPr>
        <w:pStyle w:val="Compact"/>
        <w:numPr>
          <w:ilvl w:val="0"/>
          <w:numId w:val="1006"/>
        </w:numPr>
      </w:pPr>
      <w:r>
        <w:t xml:space="preserve">Candidate boundaries generated by causal autonomy will outperform anatomical or product-label boundaries in held-out prediction of internal trajectories.</w:t>
      </w:r>
    </w:p>
    <w:p>
      <w:pPr>
        <w:pStyle w:val="Compact"/>
        <w:numPr>
          <w:ilvl w:val="0"/>
          <w:numId w:val="1006"/>
        </w:numPr>
      </w:pPr>
      <w:r>
        <w:t xml:space="preserve">Generic support replacement will preserve role profiles for enabling components but not for constitutive components.</w:t>
      </w:r>
    </w:p>
    <w:p>
      <w:pPr>
        <w:pStyle w:val="Compact"/>
        <w:numPr>
          <w:ilvl w:val="0"/>
          <w:numId w:val="1006"/>
        </w:numPr>
      </w:pPr>
      <w:r>
        <w:t xml:space="preserve">Callosal or controller disconnection will increase the number of inclusion-minimal candidates only when the resulting parts retain endogenous capacity and role completeness.</w:t>
      </w:r>
    </w:p>
    <w:p>
      <w:pPr>
        <w:pStyle w:val="Compact"/>
        <w:numPr>
          <w:ilvl w:val="0"/>
          <w:numId w:val="1006"/>
        </w:numPr>
      </w:pPr>
      <w:r>
        <w:t xml:space="preserve">Boundaries selected by maximizing a consciousness measure on the test data will show poorer out-of-sample stability than autonomy-first boundaries.</w:t>
      </w:r>
    </w:p>
    <w:p>
      <w:pPr>
        <w:pStyle w:val="Compact"/>
        <w:numPr>
          <w:ilvl w:val="0"/>
          <w:numId w:val="1006"/>
        </w:numPr>
      </w:pPr>
      <w:r>
        <w:t xml:space="preserve">Systems whose classification is highly boundary-sensitive will also show higher rates of indeterminate or unlicensed consciousness results under disciplined reporting.</w:t>
      </w:r>
    </w:p>
    <w:bookmarkEnd w:id="59"/>
    <w:bookmarkStart w:id="60" w:name="what-would-count-against-the-criterion"/>
    <w:p>
      <w:pPr>
        <w:pStyle w:val="Heading3"/>
      </w:pPr>
      <w:r>
        <w:t xml:space="preserve">8.3 What would count against the criterion</w:t>
      </w:r>
    </w:p>
    <w:p>
      <w:pPr>
        <w:pStyle w:val="FirstParagraph"/>
      </w:pPr>
      <w:r>
        <w:t xml:space="preserve">The proposal would be weakened if:</w:t>
      </w:r>
    </w:p>
    <w:p>
      <w:pPr>
        <w:pStyle w:val="Compact"/>
        <w:numPr>
          <w:ilvl w:val="0"/>
          <w:numId w:val="1007"/>
        </w:numPr>
      </w:pPr>
      <w:r>
        <w:t xml:space="preserve">autonomy-first candidates systematically fail to recover empirically coherent causal units;</w:t>
      </w:r>
    </w:p>
    <w:p>
      <w:pPr>
        <w:pStyle w:val="Compact"/>
        <w:numPr>
          <w:ilvl w:val="0"/>
          <w:numId w:val="1007"/>
        </w:numPr>
      </w:pPr>
      <m:oMath>
        <m:sSub>
          <m:e>
            <m:r>
              <m:t>J</m:t>
            </m:r>
          </m:e>
          <m:sub>
            <m:r>
              <m:rPr>
                <m:sty m:val="p"/>
              </m:rPr>
              <m:t>s</m:t>
            </m:r>
            <m:r>
              <m:rPr>
                <m:sty m:val="p"/>
              </m:rPr>
              <m:t>e</m:t>
            </m:r>
            <m:r>
              <m:rPr>
                <m:sty m:val="p"/>
              </m:rPr>
              <m:t>l</m:t>
            </m:r>
            <m:r>
              <m:rPr>
                <m:sty m:val="p"/>
              </m:rPr>
              <m:t>f</m:t>
            </m:r>
          </m:sub>
        </m:sSub>
      </m:oMath>
      <w:r>
        <w:t xml:space="preserve"> </w:t>
      </w:r>
      <w:r>
        <w:t xml:space="preserve">and</w:t>
      </w:r>
      <w:r>
        <w:t xml:space="preserve"> </w:t>
      </w:r>
      <m:oMath>
        <m:sSub>
          <m:e>
            <m:r>
              <m:t>J</m:t>
            </m:r>
          </m:e>
          <m:sub>
            <m:r>
              <m:rPr>
                <m:sty m:val="p"/>
              </m:rPr>
              <m:t>i</m:t>
            </m:r>
            <m:r>
              <m:rPr>
                <m:sty m:val="p"/>
              </m:rPr>
              <m:t>n</m:t>
            </m:r>
          </m:sub>
        </m:sSub>
      </m:oMath>
      <w:r>
        <w:t xml:space="preserve"> </w:t>
      </w:r>
      <w:r>
        <w:t xml:space="preserve">cannot be estimated with acceptable robustness even in benchmark systems;</w:t>
      </w:r>
    </w:p>
    <w:p>
      <w:pPr>
        <w:pStyle w:val="Compact"/>
        <w:numPr>
          <w:ilvl w:val="0"/>
          <w:numId w:val="1007"/>
        </w:numPr>
      </w:pPr>
      <w:r>
        <w:t xml:space="preserve">known constitutive components are repeatedly classified as replaceable supports, or known supports as constituents;</w:t>
      </w:r>
    </w:p>
    <w:p>
      <w:pPr>
        <w:pStyle w:val="Compact"/>
        <w:numPr>
          <w:ilvl w:val="0"/>
          <w:numId w:val="1007"/>
        </w:numPr>
      </w:pPr>
      <w:r>
        <w:t xml:space="preserve">inclusion-minimality discards larger systems that show irreducible, independently validated subject-level organization at the same grain and horizon;</w:t>
      </w:r>
    </w:p>
    <w:p>
      <w:pPr>
        <w:pStyle w:val="Compact"/>
        <w:numPr>
          <w:ilvl w:val="0"/>
          <w:numId w:val="1007"/>
        </w:numPr>
      </w:pPr>
      <w:r>
        <w:t xml:space="preserve">candidate identity remains radically unstable under all reasonable grains and intervention models;</w:t>
      </w:r>
    </w:p>
    <w:p>
      <w:pPr>
        <w:pStyle w:val="Compact"/>
        <w:numPr>
          <w:ilvl w:val="0"/>
          <w:numId w:val="1007"/>
        </w:numPr>
      </w:pPr>
      <w:r>
        <w:t xml:space="preserve">retrospective consciousness-score maxima predict held-out perturbational behavior better without overfitting.</w:t>
      </w:r>
    </w:p>
    <w:p>
      <w:pPr>
        <w:pStyle w:val="FirstParagraph"/>
      </w:pPr>
      <w:r>
        <w:t xml:space="preserve">The last possibility is especially important. The non-circularity argument does not guarantee that the proposed autonomy measure is empirically useful. The criterion must earn its place by improving prediction, intervention planning, and cross-study comparability.</w:t>
      </w:r>
    </w:p>
    <w:bookmarkEnd w:id="60"/>
    <w:bookmarkStart w:id="61" w:name="boundary-uncertainty-as-data"/>
    <w:p>
      <w:pPr>
        <w:pStyle w:val="Heading3"/>
      </w:pPr>
      <w:r>
        <w:t xml:space="preserve">8.4 Boundary uncertainty as data</w:t>
      </w:r>
    </w:p>
    <w:p>
      <w:pPr>
        <w:pStyle w:val="FirstParagraph"/>
      </w:pPr>
      <w:r>
        <w:t xml:space="preserve">Let</w:t>
      </w:r>
      <w:r>
        <w:t xml:space="preserve"> </w:t>
      </w:r>
      <m:oMath>
        <m:sSub>
          <m:e>
            <m:r>
              <m:t>p</m:t>
            </m:r>
          </m:e>
          <m:sub>
            <m:r>
              <m:t>j</m:t>
            </m:r>
          </m:sub>
        </m:sSub>
      </m:oMath>
      <w:r>
        <w:t xml:space="preserve"> </w:t>
      </w:r>
      <w:r>
        <w:t xml:space="preserve">be the proportion of reasonable specifications selecting candidate</w:t>
      </w:r>
      <w:r>
        <w:t xml:space="preserve"> </w:t>
      </w:r>
      <m:oMath>
        <m:sSub>
          <m:e>
            <m:r>
              <m:t>S</m:t>
            </m:r>
          </m:e>
          <m:sub>
            <m:r>
              <m:t>j</m:t>
            </m:r>
          </m:sub>
        </m:sSub>
      </m:oMath>
      <w:r>
        <w:t xml:space="preserve">. A study should report the distribution</w:t>
      </w:r>
      <w:r>
        <w:t xml:space="preserve"> </w:t>
      </w:r>
      <m:oMath>
        <m:r>
          <m:rPr>
            <m:sty m:val="p"/>
          </m:rPr>
          <m:t>{</m:t>
        </m:r>
        <m:sSub>
          <m:e>
            <m:r>
              <m:t>p</m:t>
            </m:r>
          </m:e>
          <m:sub>
            <m:r>
              <m:t>j</m:t>
            </m:r>
          </m:sub>
        </m:sSub>
        <m:r>
          <m:rPr>
            <m:sty m:val="p"/>
          </m:rPr>
          <m:t>}</m:t>
        </m:r>
      </m:oMath>
      <w:r>
        <w:t xml:space="preserve">, not only the modal boundary. High dispersion identifies a boundary-sensitive system or an underpowered individuation procedure. It directs research toward discriminating perturbations.</w:t>
      </w:r>
    </w:p>
    <w:p>
      <w:pPr>
        <w:pStyle w:val="BodyText"/>
      </w:pPr>
      <w:r>
        <w:t xml:space="preserve">This extends the four-outcome framework for consciousness attribution. Boundary instability is not a miscellaneous caveat. If no stable candidate is available, the test is unlicensed for a system-level verdict. If several stable and separable candidates remain, the result may legitimately concern multiple subjects.</w:t>
      </w:r>
    </w:p>
    <w:bookmarkEnd w:id="61"/>
    <w:bookmarkEnd w:id="62"/>
    <w:bookmarkStart w:id="73" w:name="objections-and-replies"/>
    <w:p>
      <w:pPr>
        <w:pStyle w:val="Heading2"/>
      </w:pPr>
      <w:r>
        <w:t xml:space="preserve">9. Objections and Replies</w:t>
      </w:r>
    </w:p>
    <w:bookmarkStart w:id="63" w:name="X4b10a4ed796def717d1c1f19454493cfd779ef0"/>
    <w:p>
      <w:pPr>
        <w:pStyle w:val="Heading3"/>
      </w:pPr>
      <w:r>
        <w:t xml:space="preserve">Objection 1: Autonomy is just another word for consciousness</w:t>
      </w:r>
    </w:p>
    <w:p>
      <w:pPr>
        <w:pStyle w:val="FirstParagraph"/>
      </w:pPr>
      <w:r>
        <w:t xml:space="preserve">It is not. The autonomy terms concern counterfactual dependence among modeled variables and can be estimated in systems presumed nonconscious. A thermostat, cell, vortex model, or robot controller may be autonomous in a relevant sense. Autonomy nominates a bearer; role completeness and a consciousness theory do the later classificatory work.</w:t>
      </w:r>
    </w:p>
    <w:bookmarkEnd w:id="63"/>
    <w:bookmarkStart w:id="64" w:name="Xac6c1c390516cf2c470e4bced85a6d8b4cf10e1"/>
    <w:p>
      <w:pPr>
        <w:pStyle w:val="Heading3"/>
      </w:pPr>
      <w:r>
        <w:t xml:space="preserve">Objection 2: The criterion smuggles</w:t>
      </w:r>
      <w:r>
        <w:t xml:space="preserve"> </w:t>
      </w:r>
      <m:oMath>
        <m:sSup>
          <m:e>
            <m:r>
              <m:t>N</m:t>
            </m:r>
          </m:e>
          <m:sup>
            <m:r>
              <m:rPr>
                <m:sty m:val="p"/>
              </m:rPr>
              <m:t>*</m:t>
            </m:r>
          </m:sup>
        </m:sSup>
      </m:oMath>
      <w:r>
        <w:t xml:space="preserve"> </w:t>
      </w:r>
      <w:r>
        <w:t xml:space="preserve">into the boundary</w:t>
      </w:r>
    </w:p>
    <w:p>
      <w:pPr>
        <w:pStyle w:val="FirstParagraph"/>
      </w:pPr>
      <w:r>
        <w:t xml:space="preserve">Role completeness is theory-relative, but candidate generation is not.</w:t>
      </w:r>
      <w:r>
        <w:t xml:space="preserve"> </w:t>
      </w:r>
      <m:oMath>
        <m:sSub>
          <m:e>
            <m:r>
              <m:rPr>
                <m:scr m:val="script"/>
                <m:sty m:val="p"/>
              </m:rPr>
              <m:t>P</m:t>
            </m:r>
          </m:e>
          <m:sub>
            <m:r>
              <m:rPr>
                <m:sty m:val="p"/>
              </m:rPr>
              <m:t>Θ</m:t>
            </m:r>
          </m:sub>
        </m:sSub>
      </m:oMath>
      <w:r>
        <w:t xml:space="preserve"> </w:t>
      </w:r>
      <w:r>
        <w:t xml:space="preserve">is frozen before</w:t>
      </w:r>
      <w:r>
        <w:t xml:space="preserve"> </w:t>
      </w:r>
      <m:oMath>
        <m:r>
          <m:rPr>
            <m:sty m:val="bi"/>
          </m:rPr>
          <m:t>F</m:t>
        </m:r>
      </m:oMath>
      <w:r>
        <w:t xml:space="preserve"> </w:t>
      </w:r>
      <w:r>
        <w:t xml:space="preserve">is measured. This permits independent criticism: the autonomy criterion may nominate a system that fails</w:t>
      </w:r>
      <w:r>
        <w:t xml:space="preserve"> </w:t>
      </w:r>
      <m:oMath>
        <m:sSup>
          <m:e>
            <m:r>
              <m:t>N</m:t>
            </m:r>
          </m:e>
          <m:sup>
            <m:r>
              <m:rPr>
                <m:sty m:val="p"/>
              </m:rPr>
              <m:t>*</m:t>
            </m:r>
          </m:sup>
        </m:sSup>
      </m:oMath>
      <w:r>
        <w:t xml:space="preserve">, and</w:t>
      </w:r>
      <w:r>
        <w:t xml:space="preserve"> </w:t>
      </w:r>
      <m:oMath>
        <m:sSup>
          <m:e>
            <m:r>
              <m:t>N</m:t>
            </m:r>
          </m:e>
          <m:sup>
            <m:r>
              <m:rPr>
                <m:sty m:val="p"/>
              </m:rPr>
              <m:t>*</m:t>
            </m:r>
          </m:sup>
        </m:sSup>
      </m:oMath>
      <w:r>
        <w:t xml:space="preserve"> </w:t>
      </w:r>
      <w:r>
        <w:t xml:space="preserve">may appear only in a boundary that autonomy rejects. The disagreement is visible rather than resolved by construction.</w:t>
      </w:r>
    </w:p>
    <w:bookmarkEnd w:id="64"/>
    <w:bookmarkStart w:id="65" w:name="X26d43fc45d5abd4c633b7dd71323207ac391b4d"/>
    <w:p>
      <w:pPr>
        <w:pStyle w:val="Heading3"/>
      </w:pPr>
      <w:r>
        <w:t xml:space="preserve">Objection 3: No real system is dynamically closed</w:t>
      </w:r>
    </w:p>
    <w:p>
      <w:pPr>
        <w:pStyle w:val="FirstParagraph"/>
      </w:pPr>
      <w:r>
        <w:t xml:space="preserve">Agreed. Strict closure is a limiting case. The operative criterion is sufficient autonomy within a declared intervention family, regime, and horizon. The thresholds must be justified by predictive and perturbational performance, not by verbal intuition.</w:t>
      </w:r>
    </w:p>
    <w:bookmarkEnd w:id="65"/>
    <w:bookmarkStart w:id="66" w:name="X68ee33129477c1432bcb634c951725d82436126"/>
    <w:p>
      <w:pPr>
        <w:pStyle w:val="Heading3"/>
      </w:pPr>
      <w:r>
        <w:t xml:space="preserve">Objection 4: The smallest system will always be a trivial loop</w:t>
      </w:r>
    </w:p>
    <w:p>
      <w:pPr>
        <w:pStyle w:val="FirstParagraph"/>
      </w:pPr>
      <w:r>
        <w:t xml:space="preserve">Not if the gates are enforced. An inert loop fails endogenous capacity. A self-sustaining but isolated loop can fail integration, availability, or viability. A local recurrent pocket that qualifies only after the outside is treated as fixed input may fail robustness and replacement tests. Minimality is applied last, among complete causally admissible candidates.</w:t>
      </w:r>
    </w:p>
    <w:bookmarkEnd w:id="66"/>
    <w:bookmarkStart w:id="67" w:name="X3e1f420403e15205ccd2b32cf50f028b3b9e2ce"/>
    <w:p>
      <w:pPr>
        <w:pStyle w:val="Heading3"/>
      </w:pPr>
      <w:r>
        <w:t xml:space="preserve">Objection 5: The whole body is necessary, so the criterion makes the whole body conscious</w:t>
      </w:r>
    </w:p>
    <w:p>
      <w:pPr>
        <w:pStyle w:val="FirstParagraph"/>
      </w:pPr>
      <w:r>
        <w:t xml:space="preserve">Remote necessity is insufficient. Components are tested for specific participation at the target horizon and under generic support replacement. Many bodily systems enable fast neural dynamics without constituting their moment-to-moment organization. Other bodily loops may be constitutive for particular affective or regulatory episodes. The method allows evidence to distinguish these cases.</w:t>
      </w:r>
    </w:p>
    <w:bookmarkEnd w:id="67"/>
    <w:bookmarkStart w:id="68" w:name="X0157abc9ed0a90a757cd88a90c201e85ccb96c5"/>
    <w:p>
      <w:pPr>
        <w:pStyle w:val="Heading3"/>
      </w:pPr>
      <w:r>
        <w:t xml:space="preserve">Objection 6: Boundary choice is inevitably theory-laden</w:t>
      </w:r>
    </w:p>
    <w:p>
      <w:pPr>
        <w:pStyle w:val="FirstParagraph"/>
      </w:pPr>
      <w:r>
        <w:t xml:space="preserve">Yes, but theory-ladenness is not the same as circularity. Every causal model depends on variables, interventions, and timescales. The remedy is explicit specification, competing candidate generators, held-out tests, and sensitivity reporting. The impossible standard of a view from nowhere should not excuse unreported flexibility.</w:t>
      </w:r>
    </w:p>
    <w:bookmarkEnd w:id="68"/>
    <w:bookmarkStart w:id="69" w:name="Xed41427f296ccd69503902ca1aadcee9193c742"/>
    <w:p>
      <w:pPr>
        <w:pStyle w:val="Heading3"/>
      </w:pPr>
      <w:r>
        <w:t xml:space="preserve">Objection 7: Multiple candidates imply absurd subject proliferation</w:t>
      </w:r>
    </w:p>
    <w:p>
      <w:pPr>
        <w:pStyle w:val="FirstParagraph"/>
      </w:pPr>
      <w:r>
        <w:t xml:space="preserve">Only inclusion-minimal, role-complete, robust candidates survive. Multiple candidates are expected in some disconnection cases and possible in engineered systems. If the procedure proliferates candidates in ordinary integrated humans, that is an empirical failure or a demand for stronger separation criteria-not a reason to define multiplicity away.</w:t>
      </w:r>
    </w:p>
    <w:bookmarkEnd w:id="69"/>
    <w:bookmarkStart w:id="70" w:name="X676f37b97135fefa0b3b6c26408d1fc32ca5c11"/>
    <w:p>
      <w:pPr>
        <w:pStyle w:val="Heading3"/>
      </w:pPr>
      <w:r>
        <w:t xml:space="preserve">Objection 8: A boundary can change through time, but a subject persists</w:t>
      </w:r>
    </w:p>
    <w:p>
      <w:pPr>
        <w:pStyle w:val="FirstParagraph"/>
      </w:pPr>
      <w:r>
        <w:t xml:space="preserve">The criterion concerns the causal bearer of an episode at a grain and horizon. Persistence of personal identity is a different target involving memory, continuity, embodiment, and social criteria. Time-varying subject boundaries may be possible; the method should not force episode individuation to solve diachronic identity.</w:t>
      </w:r>
    </w:p>
    <w:bookmarkEnd w:id="70"/>
    <w:bookmarkStart w:id="71" w:name="X343d98e883cddb149306d9503714a82a0d8d3a7"/>
    <w:p>
      <w:pPr>
        <w:pStyle w:val="Heading3"/>
      </w:pPr>
      <w:r>
        <w:t xml:space="preserve">Objection 9: The intervention burden is unrealistic</w:t>
      </w:r>
    </w:p>
    <w:p>
      <w:pPr>
        <w:pStyle w:val="FirstParagraph"/>
      </w:pPr>
      <w:r>
        <w:t xml:space="preserve">Complete intervention maps are rarely available. The framework permits graded evidence from natural perturbations, lesions, stimulation, ablations, model comparison, and forecast tests. When causal coverage is poor, confidence in the boundary should fall. Practical difficulty is a reason for an indeterminate result, not for pretending that a convenient boundary is known.</w:t>
      </w:r>
    </w:p>
    <w:bookmarkEnd w:id="71"/>
    <w:bookmarkStart w:id="72" w:name="Xef09eb4d8e06ee6fdde8fa6595b25ee25504502"/>
    <w:p>
      <w:pPr>
        <w:pStyle w:val="Heading3"/>
      </w:pPr>
      <w:r>
        <w:t xml:space="preserve">Objection 10: A maximally integrated whole is more intuitive than an inclusion-minimal one</w:t>
      </w:r>
    </w:p>
    <w:p>
      <w:pPr>
        <w:pStyle w:val="FirstParagraph"/>
      </w:pPr>
      <w:r>
        <w:t xml:space="preserve">Intuition does not decide whether a larger whole adds a subject or merely surrounds one. Inclusion-minimality protects against padding the system with causally useful but nonconstitutive parts. A larger candidate can still qualify if it realizes irreducible joint organization or is selected at a distinct scale. The resulting dispute is testable through perturbation and decomposition.</w:t>
      </w:r>
    </w:p>
    <w:bookmarkEnd w:id="72"/>
    <w:bookmarkEnd w:id="73"/>
    <w:bookmarkStart w:id="74" w:name="recommendations"/>
    <w:p>
      <w:pPr>
        <w:pStyle w:val="Heading2"/>
      </w:pPr>
      <w:r>
        <w:t xml:space="preserve">10. Recommendations</w:t>
      </w:r>
    </w:p>
    <w:p>
      <w:pPr>
        <w:pStyle w:val="FirstParagraph"/>
      </w:pPr>
      <w:r>
        <w:t xml:space="preserve">Studies using system-level consciousness measures should:</w:t>
      </w:r>
    </w:p>
    <w:p>
      <w:pPr>
        <w:pStyle w:val="Compact"/>
        <w:numPr>
          <w:ilvl w:val="0"/>
          <w:numId w:val="1008"/>
        </w:numPr>
      </w:pPr>
      <w:r>
        <w:t xml:space="preserve">State the candidate boundary in the title, abstract, or primary methods rather than burying it in preprocessing.</w:t>
      </w:r>
    </w:p>
    <w:p>
      <w:pPr>
        <w:pStyle w:val="Compact"/>
        <w:numPr>
          <w:ilvl w:val="0"/>
          <w:numId w:val="1008"/>
        </w:numPr>
      </w:pPr>
      <w:r>
        <w:t xml:space="preserve">Report the observational universe and plausible omitted constituents.</w:t>
      </w:r>
    </w:p>
    <w:p>
      <w:pPr>
        <w:pStyle w:val="Compact"/>
        <w:numPr>
          <w:ilvl w:val="0"/>
          <w:numId w:val="1008"/>
        </w:numPr>
      </w:pPr>
      <w:r>
        <w:t xml:space="preserve">Preregister grain, horizon, regime, causal estimator, candidate generator, and thresholds.</w:t>
      </w:r>
    </w:p>
    <w:p>
      <w:pPr>
        <w:pStyle w:val="Compact"/>
        <w:numPr>
          <w:ilvl w:val="0"/>
          <w:numId w:val="1008"/>
        </w:numPr>
      </w:pPr>
      <w:r>
        <w:t xml:space="preserve">Generate boundaries without optimizing the final consciousness measure.</w:t>
      </w:r>
    </w:p>
    <w:p>
      <w:pPr>
        <w:pStyle w:val="Compact"/>
        <w:numPr>
          <w:ilvl w:val="0"/>
          <w:numId w:val="1008"/>
        </w:numPr>
      </w:pPr>
      <w:r>
        <w:t xml:space="preserve">Separate discovery data for individuation from test data for theory evaluation.</w:t>
      </w:r>
    </w:p>
    <w:p>
      <w:pPr>
        <w:pStyle w:val="Compact"/>
        <w:numPr>
          <w:ilvl w:val="0"/>
          <w:numId w:val="1008"/>
        </w:numPr>
      </w:pPr>
      <w:r>
        <w:t xml:space="preserve">Compare at least the leading nested and expanded alternatives.</w:t>
      </w:r>
    </w:p>
    <w:p>
      <w:pPr>
        <w:pStyle w:val="Compact"/>
        <w:numPr>
          <w:ilvl w:val="0"/>
          <w:numId w:val="1008"/>
        </w:numPr>
      </w:pPr>
      <w:r>
        <w:t xml:space="preserve">Use perturbation and replacement to distinguish constituents from interfaces and supports.</w:t>
      </w:r>
    </w:p>
    <w:p>
      <w:pPr>
        <w:pStyle w:val="Compact"/>
        <w:numPr>
          <w:ilvl w:val="0"/>
          <w:numId w:val="1008"/>
        </w:numPr>
      </w:pPr>
      <w:r>
        <w:t xml:space="preserve">Apply inclusion-minimality only after autonomy and role-completeness gates.</w:t>
      </w:r>
    </w:p>
    <w:p>
      <w:pPr>
        <w:pStyle w:val="Compact"/>
        <w:numPr>
          <w:ilvl w:val="0"/>
          <w:numId w:val="1008"/>
        </w:numPr>
      </w:pPr>
      <w:r>
        <w:t xml:space="preserve">Report multiple candidates and boundary indeterminacy when warranted.</w:t>
      </w:r>
    </w:p>
    <w:p>
      <w:pPr>
        <w:pStyle w:val="Compact"/>
        <w:numPr>
          <w:ilvl w:val="0"/>
          <w:numId w:val="1008"/>
        </w:numPr>
      </w:pPr>
      <w:r>
        <w:t xml:space="preserve">Treat an unstable boundary as an unlicensed system-level consciousness assessment.</w:t>
      </w:r>
    </w:p>
    <w:bookmarkEnd w:id="74"/>
    <w:bookmarkStart w:id="75" w:name="conclusion"/>
    <w:p>
      <w:pPr>
        <w:pStyle w:val="Heading2"/>
      </w:pPr>
      <w:r>
        <w:t xml:space="preserve">11. Conclusion</w:t>
      </w:r>
    </w:p>
    <w:p>
      <w:pPr>
        <w:pStyle w:val="FirstParagraph"/>
      </w:pPr>
      <w:r>
        <w:t xml:space="preserve">Consciousness science cannot measure a subject before identifying the system that might be one. Integration, availability, recurrence, complexity, and causal power are boundary-relative quantities. If investigators select the boundary after seeing those quantities, the result risks becoming a property of the analysis rather than a discovery about the world.</w:t>
      </w:r>
    </w:p>
    <w:p>
      <w:pPr>
        <w:pStyle w:val="BodyText"/>
      </w:pPr>
      <w:r>
        <w:t xml:space="preserve">The proposed solution is a disciplined ordering. First declare the modeled universe, grain, horizon, regime, interventions, and tolerances. Next generate causally admissible candidates using sufficient dynamical autonomy and endogenous capacity. Freeze those candidates. Only then test which jointly realize integration, availability, recurrence, and viability. Select the inclusion-minimal qualifying candidate or candidates, and report instability rather than forcing uniqueness.</w:t>
      </w:r>
    </w:p>
    <w:p>
      <w:pPr>
        <w:pStyle w:val="BodyText"/>
      </w:pPr>
      <w:r>
        <w:t xml:space="preserve">The criterion does not solve the metaphysics of subjecthood, nor does it infer consciousness from closure. Its contribution is methodological: it gives functionalist and information-dynamical theories a non-circular way to specify what their measures are measures</w:t>
      </w:r>
      <w:r>
        <w:t xml:space="preserve"> </w:t>
      </w:r>
      <w:r>
        <w:rPr>
          <w:i/>
          <w:iCs/>
        </w:rPr>
        <w:t xml:space="preserve">of</w:t>
      </w:r>
      <w:r>
        <w:t xml:space="preserve">. Split brains, brain-body loops, hybrid organoids, coupled agents, and distributed artificial systems make the need visible, but the lesson applies to ordinary neuroscience as well. System individuation is not a technical footnote after consciousness measurement. It is the first result on which every system-level consciousness result depends.</w:t>
      </w:r>
    </w:p>
    <w:bookmarkEnd w:id="75"/>
    <w:bookmarkStart w:id="76" w:name="references"/>
    <w:p>
      <w:pPr>
        <w:pStyle w:val="Heading2"/>
        <w:pageBreakBefore/>
      </w:pPr>
      <w:r>
        <w:t xml:space="preserve">References</w:t>
      </w:r>
    </w:p>
    <w:p>
      <w:pPr>
        <w:pStyle w:val="FirstParagraph"/>
        <w:spacing w:after="160"/>
        <w:ind w:left="432" w:hanging="432"/>
      </w:pPr>
      <w:r>
        <w:t xml:space="preserve">Albantakis, L., Barbosa, L., Findlay, G., Grasso, M., Haun, A. M., Marshall, W., Mayner, W. G. P., Zaeemzadeh, A., Boly, M., Juel, B. E., Sasai, S., Fujii, K., David, I., Hendren, J., Lang, J. P., &amp; Tononi, G. (2023). Integrated information theory (IIT) 4.0: Formulating the properties of phenomenal existence in physical terms.</w:t>
      </w:r>
      <w:r>
        <w:t xml:space="preserve"> </w:t>
      </w:r>
      <w:r>
        <w:rPr>
          <w:i/>
          <w:iCs/>
        </w:rPr>
        <w:t xml:space="preserve">PLOS Computational Biology, 19</w:t>
      </w:r>
      <w:r>
        <w:t xml:space="preserve">(10), e1011465. https://doi.org/10.1371/journal.pcbi.1011465</w:t>
      </w:r>
    </w:p>
    <w:p>
      <w:pPr>
        <w:pStyle w:val="BodyText"/>
        <w:spacing w:after="160"/>
        <w:ind w:left="432" w:hanging="432"/>
      </w:pPr>
      <w:r>
        <w:t xml:space="preserve">Bertschinger, N., Olbrich, E., Ay, N., &amp; Jost, J. (2008). Autonomy: An information theoretic perspective.</w:t>
      </w:r>
      <w:r>
        <w:t xml:space="preserve"> </w:t>
      </w:r>
      <w:r>
        <w:rPr>
          <w:i/>
          <w:iCs/>
        </w:rPr>
        <w:t xml:space="preserve">Biosystems, 91</w:t>
      </w:r>
      <w:r>
        <w:t xml:space="preserve">(2), 331-345. https://doi.org/10.1016/j.biosystems.2007.05.018</w:t>
      </w:r>
    </w:p>
    <w:p>
      <w:pPr>
        <w:pStyle w:val="BodyText"/>
        <w:spacing w:after="160"/>
        <w:ind w:left="432" w:hanging="432"/>
      </w:pPr>
      <w:r>
        <w:t xml:space="preserve">Butlin, P., Long, R., Elmoznino, E., Bengio, Y., Birch, J., Constant, A., Deane, G., Fleming, S. M., Frith, C., Ji, X., Kanai, R., Klein, C., Lindsay, G., Michel, M., Mudrik, L., Peters, M. A. K., Schwitzgebel, E., Simon, J., &amp; VanRullen, R. (2023). Consciousness in artificial intelligence: Insights from the science of consciousness. arXiv. https://doi.org/10.48550/arXiv.2308.08708</w:t>
      </w:r>
    </w:p>
    <w:p>
      <w:pPr>
        <w:pStyle w:val="BodyText"/>
        <w:spacing w:after="160"/>
        <w:ind w:left="432" w:hanging="432"/>
      </w:pPr>
      <w:r>
        <w:t xml:space="preserve">Chen, W. G., Schloesser, D., Arensdorf, A. M., Simmons, J. M., Cui, C., Valentino, R., Gnadt, J. W., Nielsen, L., Hillaire-Clarke, C. S., Spruance, V., Horowitz, T. S., Vallejo, Y. F., &amp; Langevin, H. M. (2021). The emerging science of interoception: Sensing, integrating, interpreting, and regulating signals within the self.</w:t>
      </w:r>
      <w:r>
        <w:t xml:space="preserve"> </w:t>
      </w:r>
      <w:r>
        <w:rPr>
          <w:i/>
          <w:iCs/>
        </w:rPr>
        <w:t xml:space="preserve">Trends in Neurosciences, 44</w:t>
      </w:r>
      <w:r>
        <w:t xml:space="preserve">(1), 3-16. https://doi.org/10.1016/j.tins.2020.10.007</w:t>
      </w:r>
    </w:p>
    <w:p>
      <w:pPr>
        <w:pStyle w:val="BodyText"/>
        <w:spacing w:after="160"/>
        <w:ind w:left="432" w:hanging="432"/>
      </w:pPr>
      <w:r>
        <w:t xml:space="preserve">Clark, A., &amp; Chalmers, D. (1998). The extended mind.</w:t>
      </w:r>
      <w:r>
        <w:t xml:space="preserve"> </w:t>
      </w:r>
      <w:r>
        <w:rPr>
          <w:i/>
          <w:iCs/>
        </w:rPr>
        <w:t xml:space="preserve">Analysis, 58</w:t>
      </w:r>
      <w:r>
        <w:t xml:space="preserve">(1), 7-19. https://doi.org/10.1093/analys/58.1.7</w:t>
      </w:r>
    </w:p>
    <w:p>
      <w:pPr>
        <w:pStyle w:val="BodyText"/>
        <w:spacing w:after="160"/>
        <w:ind w:left="432" w:hanging="432"/>
      </w:pPr>
      <w:r>
        <w:t xml:space="preserve">de Haan, E. H. F., Corballis, P. M., Hillyard, S. A., Marzi, C. A., Seth, A., Lamme, V. A. F., Volz, L., Fabri, M., Schechter, E., Bayne, T., Corballis, M., &amp; Pinto, Y. (2020). Split-brain: What we know now and why this is important for understanding consciousness.</w:t>
      </w:r>
      <w:r>
        <w:t xml:space="preserve"> </w:t>
      </w:r>
      <w:r>
        <w:rPr>
          <w:i/>
          <w:iCs/>
        </w:rPr>
        <w:t xml:space="preserve">Neuropsychology Review, 30</w:t>
      </w:r>
      <w:r>
        <w:t xml:space="preserve">, 224-233. https://doi.org/10.1007/s11065-020-09439-3</w:t>
      </w:r>
    </w:p>
    <w:p>
      <w:pPr>
        <w:pStyle w:val="BodyText"/>
        <w:spacing w:after="160"/>
        <w:ind w:left="432" w:hanging="432"/>
      </w:pPr>
      <w:r>
        <w:t xml:space="preserve">Friston, K. J., Fagerholm, E. D., Zarghami, T. S., Parr, T., Hipólito, I., Magrou, L., &amp; Razi, A. (2021). Parcels and particles: Markov blankets in the brain.</w:t>
      </w:r>
      <w:r>
        <w:t xml:space="preserve"> </w:t>
      </w:r>
      <w:r>
        <w:rPr>
          <w:i/>
          <w:iCs/>
        </w:rPr>
        <w:t xml:space="preserve">Network Neuroscience, 5</w:t>
      </w:r>
      <w:r>
        <w:t xml:space="preserve">(1), 211-251. https://doi.org/10.1162/netn_a_00175</w:t>
      </w:r>
    </w:p>
    <w:p>
      <w:pPr>
        <w:pStyle w:val="BodyText"/>
        <w:spacing w:after="160"/>
        <w:ind w:left="432" w:hanging="432"/>
      </w:pPr>
      <w:r>
        <w:t xml:space="preserve">Hipólito, I., Ramstead, M. J. D., Convertino, L., Bhat, A., Friston, K., &amp; Parr, T. (2021). Markov blankets in the brain.</w:t>
      </w:r>
      <w:r>
        <w:t xml:space="preserve"> </w:t>
      </w:r>
      <w:r>
        <w:rPr>
          <w:i/>
          <w:iCs/>
        </w:rPr>
        <w:t xml:space="preserve">Neuroscience &amp; Biobehavioral Reviews, 125</w:t>
      </w:r>
      <w:r>
        <w:t xml:space="preserve">, 88-97. https://doi.org/10.1016/j.neubiorev.2021.02.003</w:t>
      </w:r>
    </w:p>
    <w:p>
      <w:pPr>
        <w:pStyle w:val="BodyText"/>
        <w:spacing w:after="160"/>
        <w:ind w:left="432" w:hanging="432"/>
      </w:pPr>
      <w:r>
        <w:t xml:space="preserve">Hoel, E. P., Albantakis, L., &amp; Tononi, G. (2013). Quantifying causal emergence shows that macro can beat micro.</w:t>
      </w:r>
      <w:r>
        <w:t xml:space="preserve"> </w:t>
      </w:r>
      <w:r>
        <w:rPr>
          <w:i/>
          <w:iCs/>
        </w:rPr>
        <w:t xml:space="preserve">Proceedings of the National Academy of Sciences, 110</w:t>
      </w:r>
      <w:r>
        <w:t xml:space="preserve">(49), 19790-19795. https://doi.org/10.1073/pnas.1314922110</w:t>
      </w:r>
    </w:p>
    <w:p>
      <w:pPr>
        <w:pStyle w:val="BodyText"/>
        <w:spacing w:after="160"/>
        <w:ind w:left="432" w:hanging="432"/>
      </w:pPr>
      <w:r>
        <w:t xml:space="preserve">Kagan, B. J., Kitchen, A. C., Tran, N. T., Habibollahi, F., Khajehnejad, M., Parker, B. J., Bhat, A., Rollo, B., Razi, A., &amp; Friston, K. J. (2022). In vitro neurons learn and exhibit sentience when embodied in a simulated game-world.</w:t>
      </w:r>
      <w:r>
        <w:t xml:space="preserve"> </w:t>
      </w:r>
      <w:r>
        <w:rPr>
          <w:i/>
          <w:iCs/>
        </w:rPr>
        <w:t xml:space="preserve">Neuron, 110</w:t>
      </w:r>
      <w:r>
        <w:t xml:space="preserve">(23), 3952-3969.e8. https://doi.org/10.1016/j.neuron.2022.09.001</w:t>
      </w:r>
    </w:p>
    <w:p>
      <w:pPr>
        <w:pStyle w:val="BodyText"/>
        <w:spacing w:after="160"/>
        <w:ind w:left="432" w:hanging="432"/>
      </w:pPr>
      <w:r>
        <w:t xml:space="preserve">Krakauer, D., Bertschinger, N., Olbrich, E., Flack, J. C., &amp; Ay, N. (2020). The information theory of individuality.</w:t>
      </w:r>
      <w:r>
        <w:t xml:space="preserve"> </w:t>
      </w:r>
      <w:r>
        <w:rPr>
          <w:i/>
          <w:iCs/>
        </w:rPr>
        <w:t xml:space="preserve">Theory in Biosciences, 139</w:t>
      </w:r>
      <w:r>
        <w:t xml:space="preserve">, 209-223. https://doi.org/10.1007/s12064-020-00313-7</w:t>
      </w:r>
    </w:p>
    <w:p>
      <w:pPr>
        <w:pStyle w:val="BodyText"/>
        <w:spacing w:after="160"/>
        <w:ind w:left="432" w:hanging="432"/>
      </w:pPr>
      <w:r>
        <w:t xml:space="preserve">Lamme, V. A. F. (2006). Towards a true neural stance on consciousness.</w:t>
      </w:r>
      <w:r>
        <w:t xml:space="preserve"> </w:t>
      </w:r>
      <w:r>
        <w:rPr>
          <w:i/>
          <w:iCs/>
        </w:rPr>
        <w:t xml:space="preserve">Trends in Cognitive Sciences, 10</w:t>
      </w:r>
      <w:r>
        <w:t xml:space="preserve">(11), 494-501. https://doi.org/10.1016/j.tics.2006.09.001</w:t>
      </w:r>
    </w:p>
    <w:p>
      <w:pPr>
        <w:pStyle w:val="BodyText"/>
        <w:spacing w:after="160"/>
        <w:ind w:left="432" w:hanging="432"/>
      </w:pPr>
      <w:r>
        <w:t xml:space="preserve">Marshall, W., Kim, H., Walker, S. I., Tononi, G., &amp; Albantakis, L. (2017). How causal analysis can reveal autonomy in models of biological systems.</w:t>
      </w:r>
      <w:r>
        <w:t xml:space="preserve"> </w:t>
      </w:r>
      <w:r>
        <w:rPr>
          <w:i/>
          <w:iCs/>
        </w:rPr>
        <w:t xml:space="preserve">Philosophical Transactions of the Royal Society A, 375</w:t>
      </w:r>
      <w:r>
        <w:t xml:space="preserve">(2109), 20160358. https://doi.org/10.1098/rsta.2016.0358</w:t>
      </w:r>
    </w:p>
    <w:p>
      <w:pPr>
        <w:pStyle w:val="BodyText"/>
        <w:spacing w:after="160"/>
        <w:ind w:left="432" w:hanging="432"/>
      </w:pPr>
      <w:r>
        <w:t xml:space="preserve">Marshall, W., Albantakis, L., &amp; Tononi, G. (2018). Black-boxing and cause-effect power.</w:t>
      </w:r>
      <w:r>
        <w:t xml:space="preserve"> </w:t>
      </w:r>
      <w:r>
        <w:rPr>
          <w:i/>
          <w:iCs/>
        </w:rPr>
        <w:t xml:space="preserve">PLOS Computational Biology, 14</w:t>
      </w:r>
      <w:r>
        <w:t xml:space="preserve">(4), e1006114. https://doi.org/10.1371/journal.pcbi.1006114</w:t>
      </w:r>
    </w:p>
    <w:p>
      <w:pPr>
        <w:pStyle w:val="BodyText"/>
        <w:spacing w:after="160"/>
        <w:ind w:left="432" w:hanging="432"/>
      </w:pPr>
      <w:r>
        <w:t xml:space="preserve">Mashour, G. A., Roelfsema, P. R., Changeux, J.-P., &amp; Dehaene, S. (2020). Conscious processing and the global neuronal workspace hypothesis.</w:t>
      </w:r>
      <w:r>
        <w:t xml:space="preserve"> </w:t>
      </w:r>
      <w:r>
        <w:rPr>
          <w:i/>
          <w:iCs/>
        </w:rPr>
        <w:t xml:space="preserve">Neuron, 105</w:t>
      </w:r>
      <w:r>
        <w:t xml:space="preserve">(5), 776-798. https://doi.org/10.1016/j.neuron.2020.01.026</w:t>
      </w:r>
    </w:p>
    <w:p>
      <w:pPr>
        <w:pStyle w:val="BodyText"/>
        <w:spacing w:after="160"/>
        <w:ind w:left="432" w:hanging="432"/>
      </w:pPr>
      <w:r>
        <w:t xml:space="preserve">Montévil, M., &amp; Mossio, M. (2015). Biological organisation as closure of constraints.</w:t>
      </w:r>
      <w:r>
        <w:t xml:space="preserve"> </w:t>
      </w:r>
      <w:r>
        <w:rPr>
          <w:i/>
          <w:iCs/>
        </w:rPr>
        <w:t xml:space="preserve">Journal of Theoretical Biology, 372</w:t>
      </w:r>
      <w:r>
        <w:t xml:space="preserve">, 179-191. https://doi.org/10.1016/j.jtbi.2015.02.029</w:t>
      </w:r>
    </w:p>
    <w:p>
      <w:pPr>
        <w:pStyle w:val="BodyText"/>
        <w:spacing w:after="160"/>
        <w:ind w:left="432" w:hanging="432"/>
      </w:pPr>
      <w:r>
        <w:t xml:space="preserve">Moreno, A., &amp; Mossio, M. (2015).</w:t>
      </w:r>
      <w:r>
        <w:t xml:space="preserve"> </w:t>
      </w:r>
      <w:r>
        <w:rPr>
          <w:i/>
          <w:iCs/>
        </w:rPr>
        <w:t xml:space="preserve">Biological autonomy: A philosophical and theoretical enquiry</w:t>
      </w:r>
      <w:r>
        <w:t xml:space="preserve">. Springer. https://doi.org/10.1007/978-94-017-9837-2</w:t>
      </w:r>
    </w:p>
    <w:p>
      <w:pPr>
        <w:pStyle w:val="BodyText"/>
        <w:spacing w:after="160"/>
        <w:ind w:left="432" w:hanging="432"/>
      </w:pPr>
      <w:r>
        <w:t xml:space="preserve">Pinto, Y., Neville, D. A., Otten, M., Corballis, P. M., Lamme, V. A. F., de Haan, E. H. F., Foschi, N., &amp; Fabri, M. (2017). Split brain: Divided perception but undivided consciousness.</w:t>
      </w:r>
      <w:r>
        <w:t xml:space="preserve"> </w:t>
      </w:r>
      <w:r>
        <w:rPr>
          <w:i/>
          <w:iCs/>
        </w:rPr>
        <w:t xml:space="preserve">Brain, 140</w:t>
      </w:r>
      <w:r>
        <w:t xml:space="preserve">(5), 1231-1237. https://doi.org/10.1093/brain/aww358</w:t>
      </w:r>
    </w:p>
    <w:p>
      <w:pPr>
        <w:pStyle w:val="BodyText"/>
        <w:spacing w:after="160"/>
        <w:ind w:left="432" w:hanging="432"/>
      </w:pPr>
      <w:r>
        <w:t xml:space="preserve">Seth, A. K. (2010). Measuring autonomy and emergence via Granger causality.</w:t>
      </w:r>
      <w:r>
        <w:t xml:space="preserve"> </w:t>
      </w:r>
      <w:r>
        <w:rPr>
          <w:i/>
          <w:iCs/>
        </w:rPr>
        <w:t xml:space="preserve">Artificial Life, 16</w:t>
      </w:r>
      <w:r>
        <w:t xml:space="preserve">(2), 179-196. https://doi.org/10.1162/artl.2010.16.2.16205</w:t>
      </w:r>
    </w:p>
    <w:p>
      <w:pPr>
        <w:pStyle w:val="BodyText"/>
        <w:spacing w:after="160"/>
        <w:ind w:left="432" w:hanging="432"/>
      </w:pPr>
      <w:r>
        <w:t xml:space="preserve">Smirnova, L., Caffo, B. S., Gracias, D. H., Huang, Q., Morales Pantoja, I. E., Tang, B., Zack, D. J., Berlinicke, C. A., Boyd, J. L., Harris, T. D., Johnson, E. C., Kagan, B. J., Kahn, J., Muotri, A. R., Paulhamus, B. L., Schwamborn, J. C., Plotkin, J., Szalay, A. S., Vogelstein, J. T., &amp; Hartung, T. (2023). Organoid intelligence (OI): The new frontier in biocomputing and intelligence-in-a-dish.</w:t>
      </w:r>
      <w:r>
        <w:t xml:space="preserve"> </w:t>
      </w:r>
      <w:r>
        <w:rPr>
          <w:i/>
          <w:iCs/>
        </w:rPr>
        <w:t xml:space="preserve">Frontiers in Science, 1</w:t>
      </w:r>
      <w:r>
        <w:t xml:space="preserve">, 1017235. https://doi.org/10.3389/fsci.2023.1017235</w:t>
      </w:r>
    </w:p>
    <w:p>
      <w:pPr>
        <w:pStyle w:val="BodyText"/>
        <w:spacing w:after="160"/>
        <w:ind w:left="432" w:hanging="432"/>
      </w:pPr>
      <w:r>
        <w:t xml:space="preserve">Storm, J. F., Klink, P. C., Aru, J., Senn, W., Goebel, R., Pigorini, A., Avanzini, P., Vanduffel, W., Roelfsema, P. R., Massimini, M., Larkum, M. E., &amp; Pennartz, C. M. A. (2024). An integrative, multiscale view on neural theories of consciousness.</w:t>
      </w:r>
      <w:r>
        <w:t xml:space="preserve"> </w:t>
      </w:r>
      <w:r>
        <w:rPr>
          <w:i/>
          <w:iCs/>
        </w:rPr>
        <w:t xml:space="preserve">Neuron, 112</w:t>
      </w:r>
      <w:r>
        <w:t xml:space="preserve">(10), 1531-1552. https://doi.org/10.1016/j.neuron.2024.02.004</w:t>
      </w:r>
    </w:p>
    <w:p>
      <w:pPr>
        <w:pStyle w:val="BodyText"/>
        <w:spacing w:after="160"/>
        <w:ind w:left="432" w:hanging="432"/>
      </w:pPr>
      <w:r>
        <w:t xml:space="preserve">Thompson, E., &amp; Varela, F. J. (2001). Radical embodiment: Neural dynamics and consciousness.</w:t>
      </w:r>
      <w:r>
        <w:t xml:space="preserve"> </w:t>
      </w:r>
      <w:r>
        <w:rPr>
          <w:i/>
          <w:iCs/>
        </w:rPr>
        <w:t xml:space="preserve">Trends in Cognitive Sciences, 5</w:t>
      </w:r>
      <w:r>
        <w:t xml:space="preserve">(10), 418-425. https://doi.org/10.1016/S1364-6613(00)01750-2</w:t>
      </w:r>
    </w:p>
    <w:p>
      <w:pPr>
        <w:pStyle w:val="BodyText"/>
        <w:spacing w:after="160"/>
        <w:ind w:left="432" w:hanging="432"/>
      </w:pPr>
      <w:r>
        <w:t xml:space="preserve">VanRullen, R., &amp; Kanai, R. (2021). Deep learning and the global workspace theory.</w:t>
      </w:r>
      <w:r>
        <w:t xml:space="preserve"> </w:t>
      </w:r>
      <w:r>
        <w:rPr>
          <w:i/>
          <w:iCs/>
        </w:rPr>
        <w:t xml:space="preserve">Trends in Neurosciences, 44</w:t>
      </w:r>
      <w:r>
        <w:t xml:space="preserve">(9), 692-704. https://doi.org/10.1016/j.tins.2021.04.005</w:t>
      </w:r>
    </w:p>
    <w:bookmarkEnd w:id="76"/>
    <w:bookmarkStart w:id="77" w:name="appendix-a-glossary-and-notation"/>
    <w:p>
      <w:pPr>
        <w:pStyle w:val="Heading2"/>
        <w:pageBreakBefore/>
      </w:pPr>
      <w:r>
        <w:t xml:space="preserve">Appendix A: Glossary and notation</w:t>
      </w:r>
    </w:p>
    <w:tbl>
      <w:tblPr>
        <w:tblW w:type="pct" w:w="5000"/>
        <w:jc w:val="center"/>
        <w:tblLayout w:type="fixed"/>
        <w:tblLook w:firstRow="1" w:lastRow="0" w:firstColumn="0" w:lastColumn="0" w:noHBand="0" w:noVBand="0" w:val="0020"/>
      </w:tblPr>
      <w:tblGrid>
        <w:gridCol w:w="1425"/>
        <w:gridCol w:w="2376"/>
        <w:gridCol w:w="4118"/>
      </w:tblGrid>
      <w:tr>
        <w:trPr>
          <w:tblHeader w:val="on"/>
          <w:cantSplit/>
          <w:tblHeader w:val="true"/>
        </w:trPr>
        <w:tc>
          <w:tcPr>
            <w:tcW w:type="dxa" w:w="1685"/>
            <w:shd w:fill="1C2D40" w:val="clear"/>
          </w:tcPr>
          <w:p>
            <w:pPr>
              <w:pStyle w:val="Compact"/>
              <w:spacing w:after="60"/>
            </w:pPr>
            <w:r>
              <w:rPr>
                <w:rFonts w:ascii="Times New Roman" w:hAnsi="Times New Roman" w:eastAsia="Times New Roman"/>
                <w:b/>
                <w:color w:val="FFFFFF"/>
                <w:sz w:val="18"/>
              </w:rPr>
              <w:t xml:space="preserve">Term or symbol</w:t>
            </w:r>
          </w:p>
        </w:tc>
        <w:tc>
          <w:tcPr>
            <w:tcW w:type="dxa" w:w="2808"/>
            <w:shd w:fill="1C2D40" w:val="clear"/>
          </w:tcPr>
          <w:p>
            <w:pPr>
              <w:pStyle w:val="Compact"/>
              <w:spacing w:after="60"/>
            </w:pPr>
            <w:r>
              <w:rPr>
                <w:rFonts w:ascii="Times New Roman" w:hAnsi="Times New Roman" w:eastAsia="Times New Roman"/>
                <w:b/>
                <w:color w:val="FFFFFF"/>
                <w:sz w:val="18"/>
              </w:rPr>
              <w:t xml:space="preserve">Role in the framework</w:t>
            </w:r>
          </w:p>
        </w:tc>
        <w:tc>
          <w:tcPr>
            <w:tcW w:type="dxa" w:w="4867"/>
            <w:shd w:fill="1C2D40" w:val="clear"/>
          </w:tcPr>
          <w:p>
            <w:pPr>
              <w:pStyle w:val="Compact"/>
              <w:spacing w:after="60"/>
            </w:pPr>
            <w:r>
              <w:rPr>
                <w:rFonts w:ascii="Times New Roman" w:hAnsi="Times New Roman" w:eastAsia="Times New Roman"/>
                <w:b/>
                <w:color w:val="FFFFFF"/>
                <w:sz w:val="18"/>
              </w:rPr>
              <w:t xml:space="preserve">Interpretive guardrail</w:t>
            </w:r>
          </w:p>
        </w:tc>
      </w:tr>
      <w:tr>
        <w:trPr>
          <w:cantSplit/>
        </w:trPr>
        <w:tc>
          <w:tcPr>
            <w:tcW w:type="dxa" w:w="1685"/>
            <w:shd w:fill="FFFFFF" w:val="clear"/>
          </w:tcPr>
          <w:p>
            <w:pPr>
              <w:pStyle w:val="Compact"/>
              <w:spacing w:after="60"/>
            </w:pPr>
            <m:oMath>
              <m:r>
                <m:rPr>
                  <m:sty m:val="p"/>
                </m:rPr>
                <m:t>Ω</m:t>
              </m:r>
            </m:oMath>
          </w:p>
        </w:tc>
        <w:tc>
          <w:tcPr>
            <w:tcW w:type="dxa" w:w="2808"/>
            <w:shd w:fill="FFFFFF" w:val="clear"/>
          </w:tcPr>
          <w:p>
            <w:pPr>
              <w:pStyle w:val="Compact"/>
              <w:spacing w:after="60"/>
            </w:pPr>
            <w:r>
              <w:rPr>
                <w:rFonts w:ascii="Times New Roman" w:hAnsi="Times New Roman" w:eastAsia="Times New Roman"/>
                <w:sz w:val="18"/>
              </w:rPr>
              <w:t xml:space="preserve">Declared universe of modeled variables</w:t>
            </w:r>
          </w:p>
        </w:tc>
        <w:tc>
          <w:tcPr>
            <w:tcW w:type="dxa" w:w="4867"/>
            <w:shd w:fill="FFFFFF" w:val="clear"/>
          </w:tcPr>
          <w:p>
            <w:pPr>
              <w:pStyle w:val="Compact"/>
              <w:spacing w:after="60"/>
            </w:pPr>
            <w:r>
              <w:rPr>
                <w:rFonts w:ascii="Times New Roman" w:hAnsi="Times New Roman" w:eastAsia="Times New Roman"/>
                <w:sz w:val="18"/>
              </w:rPr>
              <w:t xml:space="preserve">Not the universe of all physically relevant things. Omissions must be reported.</w:t>
            </w:r>
          </w:p>
        </w:tc>
      </w:tr>
      <w:tr>
        <w:trPr>
          <w:cantSplit/>
        </w:trPr>
        <w:tc>
          <w:tcPr>
            <w:tcW w:type="dxa" w:w="1685"/>
            <w:shd w:fill="EAF1F6" w:val="clear"/>
          </w:tcPr>
          <w:p>
            <w:pPr>
              <w:pStyle w:val="Compact"/>
              <w:spacing w:after="60"/>
            </w:pPr>
            <m:oMath>
              <m:r>
                <m:t>S</m:t>
              </m:r>
              <m:r>
                <m:rPr>
                  <m:sty m:val="p"/>
                </m:rPr>
                <m:t>,</m:t>
              </m:r>
              <m:acc>
                <m:accPr>
                  <m:chr m:val="‾"/>
                </m:accPr>
                <m:e>
                  <m:r>
                    <m:t>S</m:t>
                  </m:r>
                </m:e>
              </m:acc>
            </m:oMath>
          </w:p>
        </w:tc>
        <w:tc>
          <w:tcPr>
            <w:tcW w:type="dxa" w:w="2808"/>
            <w:shd w:fill="EAF1F6" w:val="clear"/>
          </w:tcPr>
          <w:p>
            <w:pPr>
              <w:pStyle w:val="Compact"/>
              <w:spacing w:after="60"/>
            </w:pPr>
            <w:r>
              <w:rPr>
                <w:rFonts w:ascii="Times New Roman" w:hAnsi="Times New Roman" w:eastAsia="Times New Roman"/>
                <w:sz w:val="18"/>
              </w:rPr>
              <w:t xml:space="preserve">Candidate system and its modeled environment</w:t>
            </w:r>
          </w:p>
        </w:tc>
        <w:tc>
          <w:tcPr>
            <w:tcW w:type="dxa" w:w="4867"/>
            <w:shd w:fill="EAF1F6" w:val="clear"/>
          </w:tcPr>
          <w:p>
            <w:pPr>
              <w:pStyle w:val="Compact"/>
              <w:spacing w:after="60"/>
            </w:pPr>
            <w:r>
              <w:rPr>
                <w:rFonts w:ascii="Times New Roman" w:hAnsi="Times New Roman" w:eastAsia="Times New Roman"/>
                <w:sz w:val="18"/>
              </w:rPr>
              <w:t xml:space="preserve">A partition to be tested, not an assumed subject-environment divide.</w:t>
            </w:r>
          </w:p>
        </w:tc>
      </w:tr>
      <w:tr>
        <w:trPr>
          <w:cantSplit/>
        </w:trPr>
        <w:tc>
          <w:tcPr>
            <w:tcW w:type="dxa" w:w="1685"/>
            <w:shd w:fill="FFFFFF" w:val="clear"/>
          </w:tcPr>
          <w:p>
            <w:pPr>
              <w:pStyle w:val="Compact"/>
              <w:spacing w:after="60"/>
            </w:pPr>
            <m:oMath>
              <m:r>
                <m:t>g</m:t>
              </m:r>
            </m:oMath>
          </w:p>
        </w:tc>
        <w:tc>
          <w:tcPr>
            <w:tcW w:type="dxa" w:w="2808"/>
            <w:shd w:fill="FFFFFF" w:val="clear"/>
          </w:tcPr>
          <w:p>
            <w:pPr>
              <w:pStyle w:val="Compact"/>
              <w:spacing w:after="60"/>
            </w:pPr>
            <w:r>
              <w:rPr>
                <w:rFonts w:ascii="Times New Roman" w:hAnsi="Times New Roman" w:eastAsia="Times New Roman"/>
                <w:sz w:val="18"/>
              </w:rPr>
              <w:t xml:space="preserve">Spatial, functional, and temporal grain</w:t>
            </w:r>
          </w:p>
        </w:tc>
        <w:tc>
          <w:tcPr>
            <w:tcW w:type="dxa" w:w="4867"/>
            <w:shd w:fill="FFFFFF" w:val="clear"/>
          </w:tcPr>
          <w:p>
            <w:pPr>
              <w:pStyle w:val="Compact"/>
              <w:spacing w:after="60"/>
            </w:pPr>
            <w:r>
              <w:rPr>
                <w:rFonts w:ascii="Times New Roman" w:hAnsi="Times New Roman" w:eastAsia="Times New Roman"/>
                <w:sz w:val="18"/>
              </w:rPr>
              <w:t xml:space="preserve">Boundaries at different grains are not directly interchangeable.</w:t>
            </w:r>
          </w:p>
        </w:tc>
      </w:tr>
      <w:tr>
        <w:trPr>
          <w:cantSplit/>
        </w:trPr>
        <w:tc>
          <w:tcPr>
            <w:tcW w:type="dxa" w:w="1685"/>
            <w:shd w:fill="EAF1F6" w:val="clear"/>
          </w:tcPr>
          <w:p>
            <w:pPr>
              <w:pStyle w:val="Compact"/>
              <w:spacing w:after="60"/>
            </w:pPr>
            <m:oMath>
              <m:r>
                <m:rPr>
                  <m:sty m:val="p"/>
                </m:rPr>
                <m:t>Δ</m:t>
              </m:r>
            </m:oMath>
          </w:p>
        </w:tc>
        <w:tc>
          <w:tcPr>
            <w:tcW w:type="dxa" w:w="2808"/>
            <w:shd w:fill="EAF1F6" w:val="clear"/>
          </w:tcPr>
          <w:p>
            <w:pPr>
              <w:pStyle w:val="Compact"/>
              <w:spacing w:after="60"/>
            </w:pPr>
            <w:r>
              <w:rPr>
                <w:rFonts w:ascii="Times New Roman" w:hAnsi="Times New Roman" w:eastAsia="Times New Roman"/>
                <w:sz w:val="18"/>
              </w:rPr>
              <w:t xml:space="preserve">Causal evaluation horizon</w:t>
            </w:r>
          </w:p>
        </w:tc>
        <w:tc>
          <w:tcPr>
            <w:tcW w:type="dxa" w:w="4867"/>
            <w:shd w:fill="EAF1F6" w:val="clear"/>
          </w:tcPr>
          <w:p>
            <w:pPr>
              <w:pStyle w:val="Compact"/>
              <w:spacing w:after="60"/>
            </w:pPr>
            <w:r>
              <w:rPr>
                <w:rFonts w:ascii="Times New Roman" w:hAnsi="Times New Roman" w:eastAsia="Times New Roman"/>
                <w:sz w:val="18"/>
              </w:rPr>
              <w:t xml:space="preserve">A boundary is horizon-indexed, not timeless.</w:t>
            </w:r>
          </w:p>
        </w:tc>
      </w:tr>
      <w:tr>
        <w:trPr>
          <w:cantSplit/>
        </w:trPr>
        <w:tc>
          <w:tcPr>
            <w:tcW w:type="dxa" w:w="1685"/>
            <w:shd w:fill="FFFFFF" w:val="clear"/>
          </w:tcPr>
          <w:p>
            <w:pPr>
              <w:pStyle w:val="Compact"/>
              <w:spacing w:after="60"/>
            </w:pPr>
            <m:oMath>
              <m:r>
                <m:rPr>
                  <m:scr m:val="script"/>
                  <m:sty m:val="p"/>
                </m:rPr>
                <m:t>R</m:t>
              </m:r>
            </m:oMath>
          </w:p>
        </w:tc>
        <w:tc>
          <w:tcPr>
            <w:tcW w:type="dxa" w:w="2808"/>
            <w:shd w:fill="FFFFFF" w:val="clear"/>
          </w:tcPr>
          <w:p>
            <w:pPr>
              <w:pStyle w:val="Compact"/>
              <w:spacing w:after="60"/>
            </w:pPr>
            <w:r>
              <w:rPr>
                <w:rFonts w:ascii="Times New Roman" w:hAnsi="Times New Roman" w:eastAsia="Times New Roman"/>
                <w:sz w:val="18"/>
              </w:rPr>
              <w:t xml:space="preserve">Operating regime</w:t>
            </w:r>
          </w:p>
        </w:tc>
        <w:tc>
          <w:tcPr>
            <w:tcW w:type="dxa" w:w="4867"/>
            <w:shd w:fill="FFFFFF" w:val="clear"/>
          </w:tcPr>
          <w:p>
            <w:pPr>
              <w:pStyle w:val="Compact"/>
              <w:spacing w:after="60"/>
            </w:pPr>
            <w:r>
              <w:rPr>
                <w:rFonts w:ascii="Times New Roman" w:hAnsi="Times New Roman" w:eastAsia="Times New Roman"/>
                <w:sz w:val="18"/>
              </w:rPr>
              <w:t xml:space="preserve">State changes can alter causal boundaries.</w:t>
            </w:r>
          </w:p>
        </w:tc>
      </w:tr>
      <w:tr>
        <w:trPr>
          <w:cantSplit/>
        </w:trPr>
        <w:tc>
          <w:tcPr>
            <w:tcW w:type="dxa" w:w="1685"/>
            <w:shd w:fill="EAF1F6" w:val="clear"/>
          </w:tcPr>
          <w:p>
            <w:pPr>
              <w:pStyle w:val="Compact"/>
              <w:spacing w:after="60"/>
            </w:pPr>
            <m:oMath>
              <m:r>
                <m:rPr>
                  <m:scr m:val="script"/>
                  <m:sty m:val="p"/>
                </m:rPr>
                <m:t>I</m:t>
              </m:r>
            </m:oMath>
          </w:p>
        </w:tc>
        <w:tc>
          <w:tcPr>
            <w:tcW w:type="dxa" w:w="2808"/>
            <w:shd w:fill="EAF1F6" w:val="clear"/>
          </w:tcPr>
          <w:p>
            <w:pPr>
              <w:pStyle w:val="Compact"/>
              <w:spacing w:after="60"/>
            </w:pPr>
            <w:r>
              <w:rPr>
                <w:rFonts w:ascii="Times New Roman" w:hAnsi="Times New Roman" w:eastAsia="Times New Roman"/>
                <w:sz w:val="18"/>
              </w:rPr>
              <w:t xml:space="preserve">Admissible intervention family</w:t>
            </w:r>
          </w:p>
        </w:tc>
        <w:tc>
          <w:tcPr>
            <w:tcW w:type="dxa" w:w="4867"/>
            <w:shd w:fill="EAF1F6" w:val="clear"/>
          </w:tcPr>
          <w:p>
            <w:pPr>
              <w:pStyle w:val="Compact"/>
              <w:spacing w:after="60"/>
            </w:pPr>
            <w:r>
              <w:rPr>
                <w:rFonts w:ascii="Times New Roman" w:hAnsi="Times New Roman" w:eastAsia="Times New Roman"/>
                <w:sz w:val="18"/>
              </w:rPr>
              <w:t xml:space="preserve">Results are only as general as the perturbations considered.</w:t>
            </w:r>
          </w:p>
        </w:tc>
      </w:tr>
      <w:tr>
        <w:trPr>
          <w:cantSplit/>
        </w:trPr>
        <w:tc>
          <w:tcPr>
            <w:tcW w:type="dxa" w:w="1685"/>
            <w:shd w:fill="FFFFFF" w:val="clear"/>
          </w:tcPr>
          <w:p>
            <w:pPr>
              <w:pStyle w:val="Compact"/>
              <w:spacing w:after="60"/>
            </w:pPr>
            <m:oMath>
              <m:sSub>
                <m:e>
                  <m:r>
                    <m:t>J</m:t>
                  </m:r>
                </m:e>
                <m:sub>
                  <m:r>
                    <m:rPr>
                      <m:sty m:val="p"/>
                    </m:rPr>
                    <m:t>s</m:t>
                  </m:r>
                  <m:r>
                    <m:rPr>
                      <m:sty m:val="p"/>
                    </m:rPr>
                    <m:t>e</m:t>
                  </m:r>
                  <m:r>
                    <m:rPr>
                      <m:sty m:val="p"/>
                    </m:rPr>
                    <m:t>l</m:t>
                  </m:r>
                  <m:r>
                    <m:rPr>
                      <m:sty m:val="p"/>
                    </m:rPr>
                    <m:t>f</m:t>
                  </m:r>
                </m:sub>
              </m:sSub>
            </m:oMath>
          </w:p>
        </w:tc>
        <w:tc>
          <w:tcPr>
            <w:tcW w:type="dxa" w:w="2808"/>
            <w:shd w:fill="FFFFFF" w:val="clear"/>
          </w:tcPr>
          <w:p>
            <w:pPr>
              <w:pStyle w:val="Compact"/>
              <w:spacing w:after="60"/>
            </w:pPr>
            <w:r>
              <w:rPr>
                <w:rFonts w:ascii="Times New Roman" w:hAnsi="Times New Roman" w:eastAsia="Times New Roman"/>
                <w:sz w:val="18"/>
              </w:rPr>
              <w:t xml:space="preserve">Endogenous causal capacity</w:t>
            </w:r>
          </w:p>
        </w:tc>
        <w:tc>
          <w:tcPr>
            <w:tcW w:type="dxa" w:w="4867"/>
            <w:shd w:fill="FFFFFF" w:val="clear"/>
          </w:tcPr>
          <w:p>
            <w:pPr>
              <w:pStyle w:val="Compact"/>
              <w:spacing w:after="60"/>
            </w:pPr>
            <w:r>
              <w:rPr>
                <w:rFonts w:ascii="Times New Roman" w:hAnsi="Times New Roman" w:eastAsia="Times New Roman"/>
                <w:sz w:val="18"/>
              </w:rPr>
              <w:t xml:space="preserve">Blocks inert independence from counting as autonomy.</w:t>
            </w:r>
          </w:p>
        </w:tc>
      </w:tr>
      <w:tr>
        <w:trPr>
          <w:cantSplit/>
        </w:trPr>
        <w:tc>
          <w:tcPr>
            <w:tcW w:type="dxa" w:w="1685"/>
            <w:shd w:fill="EAF1F6" w:val="clear"/>
          </w:tcPr>
          <w:p>
            <w:pPr>
              <w:pStyle w:val="Compact"/>
              <w:spacing w:after="60"/>
            </w:pPr>
            <m:oMath>
              <m:sSub>
                <m:e>
                  <m:r>
                    <m:t>J</m:t>
                  </m:r>
                </m:e>
                <m:sub>
                  <m:r>
                    <m:rPr>
                      <m:sty m:val="p"/>
                    </m:rPr>
                    <m:t>i</m:t>
                  </m:r>
                  <m:r>
                    <m:rPr>
                      <m:sty m:val="p"/>
                    </m:rPr>
                    <m:t>n</m:t>
                  </m:r>
                </m:sub>
              </m:sSub>
            </m:oMath>
          </w:p>
        </w:tc>
        <w:tc>
          <w:tcPr>
            <w:tcW w:type="dxa" w:w="2808"/>
            <w:shd w:fill="EAF1F6" w:val="clear"/>
          </w:tcPr>
          <w:p>
            <w:pPr>
              <w:pStyle w:val="Compact"/>
              <w:spacing w:after="60"/>
            </w:pPr>
            <w:r>
              <w:rPr>
                <w:rFonts w:ascii="Times New Roman" w:hAnsi="Times New Roman" w:eastAsia="Times New Roman"/>
                <w:sz w:val="18"/>
              </w:rPr>
              <w:t xml:space="preserve">External dependence</w:t>
            </w:r>
          </w:p>
        </w:tc>
        <w:tc>
          <w:tcPr>
            <w:tcW w:type="dxa" w:w="4867"/>
            <w:shd w:fill="EAF1F6" w:val="clear"/>
          </w:tcPr>
          <w:p>
            <w:pPr>
              <w:pStyle w:val="Compact"/>
              <w:spacing w:after="60"/>
            </w:pPr>
            <w:r>
              <w:rPr>
                <w:rFonts w:ascii="Times New Roman" w:hAnsi="Times New Roman" w:eastAsia="Times New Roman"/>
                <w:sz w:val="18"/>
              </w:rPr>
              <w:t xml:space="preserve">Measures external imposition on organizational trajectories, not mere input sensitivity.</w:t>
            </w:r>
          </w:p>
        </w:tc>
      </w:tr>
      <w:tr>
        <w:trPr>
          <w:cantSplit/>
        </w:trPr>
        <w:tc>
          <w:tcPr>
            <w:tcW w:type="dxa" w:w="1685"/>
            <w:shd w:fill="FFFFFF" w:val="clear"/>
          </w:tcPr>
          <w:p>
            <w:pPr>
              <w:pStyle w:val="Compact"/>
              <w:spacing w:after="60"/>
            </w:pPr>
            <m:oMath>
              <m:sSub>
                <m:e>
                  <m:r>
                    <m:t>A</m:t>
                  </m:r>
                </m:e>
                <m:sub>
                  <m:r>
                    <m:rPr>
                      <m:sty m:val="p"/>
                    </m:rPr>
                    <m:t>Θ</m:t>
                  </m:r>
                </m:sub>
              </m:sSub>
            </m:oMath>
          </w:p>
        </w:tc>
        <w:tc>
          <w:tcPr>
            <w:tcW w:type="dxa" w:w="2808"/>
            <w:shd w:fill="FFFFFF" w:val="clear"/>
          </w:tcPr>
          <w:p>
            <w:pPr>
              <w:pStyle w:val="Compact"/>
              <w:spacing w:after="60"/>
            </w:pPr>
            <w:r>
              <w:rPr>
                <w:rFonts w:ascii="Times New Roman" w:hAnsi="Times New Roman" w:eastAsia="Times New Roman"/>
                <w:sz w:val="18"/>
              </w:rPr>
              <w:t xml:space="preserve">Sufficient-autonomy ratio</w:t>
            </w:r>
          </w:p>
        </w:tc>
        <w:tc>
          <w:tcPr>
            <w:tcW w:type="dxa" w:w="4867"/>
            <w:shd w:fill="FFFFFF" w:val="clear"/>
          </w:tcPr>
          <w:p>
            <w:pPr>
              <w:pStyle w:val="Compact"/>
              <w:spacing w:after="60"/>
            </w:pPr>
            <w:r>
              <w:rPr>
                <w:rFonts w:ascii="Times New Roman" w:hAnsi="Times New Roman" w:eastAsia="Times New Roman"/>
                <w:sz w:val="18"/>
              </w:rPr>
              <w:t xml:space="preserve">Eligibility for systemhood, not degree of consciousness.</w:t>
            </w:r>
          </w:p>
        </w:tc>
      </w:tr>
      <w:tr>
        <w:trPr>
          <w:cantSplit/>
        </w:trPr>
        <w:tc>
          <w:tcPr>
            <w:tcW w:type="dxa" w:w="1685"/>
            <w:shd w:fill="EAF1F6" w:val="clear"/>
          </w:tcPr>
          <w:p>
            <w:pPr>
              <w:pStyle w:val="Compact"/>
              <w:spacing w:after="60"/>
            </w:pPr>
            <m:oMath>
              <m:sSub>
                <m:e>
                  <m:r>
                    <m:rPr>
                      <m:scr m:val="script"/>
                      <m:sty m:val="p"/>
                    </m:rPr>
                    <m:t>P</m:t>
                  </m:r>
                </m:e>
                <m:sub>
                  <m:r>
                    <m:rPr>
                      <m:sty m:val="p"/>
                    </m:rPr>
                    <m:t>Θ</m:t>
                  </m:r>
                </m:sub>
              </m:sSub>
            </m:oMath>
          </w:p>
        </w:tc>
        <w:tc>
          <w:tcPr>
            <w:tcW w:type="dxa" w:w="2808"/>
            <w:shd w:fill="EAF1F6" w:val="clear"/>
          </w:tcPr>
          <w:p>
            <w:pPr>
              <w:pStyle w:val="Compact"/>
              <w:spacing w:after="60"/>
            </w:pPr>
            <w:r>
              <w:rPr>
                <w:rFonts w:ascii="Times New Roman" w:hAnsi="Times New Roman" w:eastAsia="Times New Roman"/>
                <w:sz w:val="18"/>
              </w:rPr>
              <w:t xml:space="preserve">Causally admissible candidate family</w:t>
            </w:r>
          </w:p>
        </w:tc>
        <w:tc>
          <w:tcPr>
            <w:tcW w:type="dxa" w:w="4867"/>
            <w:shd w:fill="EAF1F6" w:val="clear"/>
          </w:tcPr>
          <w:p>
            <w:pPr>
              <w:pStyle w:val="Compact"/>
              <w:spacing w:after="60"/>
            </w:pPr>
            <w:r>
              <w:rPr>
                <w:rFonts w:ascii="Times New Roman" w:hAnsi="Times New Roman" w:eastAsia="Times New Roman"/>
                <w:sz w:val="18"/>
              </w:rPr>
              <w:t xml:space="preserve">Generated before theory-specific consciousness measurement.</w:t>
            </w:r>
          </w:p>
        </w:tc>
      </w:tr>
      <w:tr>
        <w:trPr>
          <w:cantSplit/>
        </w:trPr>
        <w:tc>
          <w:tcPr>
            <w:tcW w:type="dxa" w:w="1685"/>
            <w:shd w:fill="FFFFFF" w:val="clear"/>
          </w:tcPr>
          <w:p>
            <w:pPr>
              <w:pStyle w:val="Compact"/>
              <w:spacing w:after="60"/>
            </w:pPr>
            <m:oMath>
              <m:sSub>
                <m:e>
                  <m:r>
                    <m:rPr>
                      <m:sty m:val="bi"/>
                    </m:rPr>
                    <m:t>F</m:t>
                  </m:r>
                </m:e>
                <m:sub>
                  <m:r>
                    <m:rPr>
                      <m:sty m:val="p"/>
                    </m:rPr>
                    <m:t>Θ</m:t>
                  </m:r>
                </m:sub>
              </m:sSub>
            </m:oMath>
          </w:p>
        </w:tc>
        <w:tc>
          <w:tcPr>
            <w:tcW w:type="dxa" w:w="2808"/>
            <w:shd w:fill="FFFFFF" w:val="clear"/>
          </w:tcPr>
          <w:p>
            <w:pPr>
              <w:pStyle w:val="Compact"/>
              <w:spacing w:after="60"/>
            </w:pPr>
            <w:r>
              <w:rPr>
                <w:rFonts w:ascii="Times New Roman" w:hAnsi="Times New Roman" w:eastAsia="Times New Roman"/>
                <w:sz w:val="18"/>
              </w:rPr>
              <w:t xml:space="preserve">Integration, availability, recurrence, and viability profile</w:t>
            </w:r>
          </w:p>
        </w:tc>
        <w:tc>
          <w:tcPr>
            <w:tcW w:type="dxa" w:w="4867"/>
            <w:shd w:fill="FFFFFF" w:val="clear"/>
          </w:tcPr>
          <w:p>
            <w:pPr>
              <w:pStyle w:val="Compact"/>
              <w:spacing w:after="60"/>
            </w:pPr>
            <w:r>
              <w:rPr>
                <w:rFonts w:ascii="Times New Roman" w:hAnsi="Times New Roman" w:eastAsia="Times New Roman"/>
                <w:sz w:val="18"/>
              </w:rPr>
              <w:t xml:space="preserve">Theory-relative role test, not a direct phenomenal measurement.</w:t>
            </w:r>
          </w:p>
        </w:tc>
      </w:tr>
      <w:tr>
        <w:trPr>
          <w:cantSplit/>
        </w:trPr>
        <w:tc>
          <w:tcPr>
            <w:tcW w:type="dxa" w:w="1685"/>
            <w:shd w:fill="EAF1F6" w:val="clear"/>
          </w:tcPr>
          <w:p>
            <w:pPr>
              <w:pStyle w:val="Compact"/>
              <w:spacing w:after="60"/>
            </w:pPr>
            <m:oMath>
              <m:sSub>
                <m:e>
                  <m:r>
                    <m:rPr>
                      <m:scr m:val="script"/>
                      <m:sty m:val="p"/>
                    </m:rPr>
                    <m:t>Q</m:t>
                  </m:r>
                </m:e>
                <m:sub>
                  <m:r>
                    <m:rPr>
                      <m:sty m:val="p"/>
                    </m:rPr>
                    <m:t>Θ</m:t>
                  </m:r>
                </m:sub>
              </m:sSub>
            </m:oMath>
          </w:p>
        </w:tc>
        <w:tc>
          <w:tcPr>
            <w:tcW w:type="dxa" w:w="2808"/>
            <w:shd w:fill="EAF1F6" w:val="clear"/>
          </w:tcPr>
          <w:p>
            <w:pPr>
              <w:pStyle w:val="Compact"/>
              <w:spacing w:after="60"/>
            </w:pPr>
            <w:r>
              <w:rPr>
                <w:rFonts w:ascii="Times New Roman" w:hAnsi="Times New Roman" w:eastAsia="Times New Roman"/>
                <w:sz w:val="18"/>
              </w:rPr>
              <w:t xml:space="preserve">Role-complete admissible systems</w:t>
            </w:r>
          </w:p>
        </w:tc>
        <w:tc>
          <w:tcPr>
            <w:tcW w:type="dxa" w:w="4867"/>
            <w:shd w:fill="EAF1F6" w:val="clear"/>
          </w:tcPr>
          <w:p>
            <w:pPr>
              <w:pStyle w:val="Compact"/>
              <w:spacing w:after="60"/>
            </w:pPr>
            <w:r>
              <w:rPr>
                <w:rFonts w:ascii="Times New Roman" w:hAnsi="Times New Roman" w:eastAsia="Times New Roman"/>
                <w:sz w:val="18"/>
              </w:rPr>
              <w:t xml:space="preserve">Candidates that pass both individuation and theory gates.</w:t>
            </w:r>
          </w:p>
        </w:tc>
      </w:tr>
      <w:tr>
        <w:trPr>
          <w:cantSplit/>
        </w:trPr>
        <w:tc>
          <w:tcPr>
            <w:tcW w:type="dxa" w:w="1685"/>
            <w:shd w:fill="FFFFFF" w:val="clear"/>
          </w:tcPr>
          <w:p>
            <w:pPr>
              <w:pStyle w:val="Compact"/>
              <w:spacing w:after="60"/>
            </w:pPr>
            <m:oMath>
              <m:sSub>
                <m:e>
                  <m:r>
                    <m:rPr>
                      <m:scr m:val="script"/>
                      <m:sty m:val="p"/>
                    </m:rPr>
                    <m:t>B</m:t>
                  </m:r>
                </m:e>
                <m:sub>
                  <m:r>
                    <m:rPr>
                      <m:sty m:val="p"/>
                    </m:rPr>
                    <m:t>Θ</m:t>
                  </m:r>
                </m:sub>
              </m:sSub>
            </m:oMath>
          </w:p>
        </w:tc>
        <w:tc>
          <w:tcPr>
            <w:tcW w:type="dxa" w:w="2808"/>
            <w:shd w:fill="FFFFFF" w:val="clear"/>
          </w:tcPr>
          <w:p>
            <w:pPr>
              <w:pStyle w:val="Compact"/>
              <w:spacing w:after="60"/>
            </w:pPr>
            <w:r>
              <w:rPr>
                <w:rFonts w:ascii="Times New Roman" w:hAnsi="Times New Roman" w:eastAsia="Times New Roman"/>
                <w:sz w:val="18"/>
              </w:rPr>
              <w:t xml:space="preserve">Inclusion-minimal selected boundaries</w:t>
            </w:r>
          </w:p>
        </w:tc>
        <w:tc>
          <w:tcPr>
            <w:tcW w:type="dxa" w:w="4867"/>
            <w:shd w:fill="FFFFFF" w:val="clear"/>
          </w:tcPr>
          <w:p>
            <w:pPr>
              <w:pStyle w:val="Compact"/>
              <w:spacing w:after="60"/>
            </w:pPr>
            <w:r>
              <w:rPr>
                <w:rFonts w:ascii="Times New Roman" w:hAnsi="Times New Roman" w:eastAsia="Times New Roman"/>
                <w:sz w:val="18"/>
              </w:rPr>
              <w:t xml:space="preserve">May contain one, several, or no members.</w:t>
            </w:r>
          </w:p>
        </w:tc>
      </w:tr>
      <w:tr>
        <w:trPr>
          <w:cantSplit/>
        </w:trPr>
        <w:tc>
          <w:tcPr>
            <w:tcW w:type="dxa" w:w="1685"/>
            <w:shd w:fill="EAF1F6" w:val="clear"/>
          </w:tcPr>
          <w:p>
            <w:pPr>
              <w:pStyle w:val="Compact"/>
              <w:spacing w:after="60"/>
            </w:pPr>
            <m:oMath>
              <m:sSub>
                <m:e>
                  <m:r>
                    <m:t>K</m:t>
                  </m:r>
                </m:e>
                <m:sub>
                  <m:r>
                    <m:t>z</m:t>
                  </m:r>
                </m:sub>
              </m:sSub>
              <m:r>
                <m:rPr>
                  <m:sty m:val="p"/>
                </m:rPr>
                <m:t>(</m:t>
              </m:r>
              <m:r>
                <m:t>S</m:t>
              </m:r>
              <m:r>
                <m:rPr>
                  <m:sty m:val="p"/>
                </m:rPr>
                <m:t>)</m:t>
              </m:r>
            </m:oMath>
          </w:p>
        </w:tc>
        <w:tc>
          <w:tcPr>
            <w:tcW w:type="dxa" w:w="2808"/>
            <w:shd w:fill="EAF1F6" w:val="clear"/>
          </w:tcPr>
          <w:p>
            <w:pPr>
              <w:pStyle w:val="Compact"/>
              <w:spacing w:after="60"/>
            </w:pPr>
            <w:r>
              <w:rPr>
                <w:rFonts w:ascii="Times New Roman" w:hAnsi="Times New Roman" w:eastAsia="Times New Roman"/>
                <w:sz w:val="18"/>
              </w:rPr>
              <w:t xml:space="preserve">Role loss after perturbing component</w:t>
            </w:r>
            <w:r>
              <w:rPr>
                <w:rFonts w:ascii="Times New Roman" w:hAnsi="Times New Roman" w:eastAsia="Times New Roman"/>
                <w:sz w:val="18"/>
              </w:rPr>
              <w:t xml:space="preserve"> </w:t>
            </w:r>
            <m:oMath>
              <m:r>
                <m:t>z</m:t>
              </m:r>
            </m:oMath>
          </w:p>
        </w:tc>
        <w:tc>
          <w:tcPr>
            <w:tcW w:type="dxa" w:w="4867"/>
            <w:shd w:fill="EAF1F6" w:val="clear"/>
          </w:tcPr>
          <w:p>
            <w:pPr>
              <w:pStyle w:val="Compact"/>
              <w:spacing w:after="60"/>
            </w:pPr>
            <w:r>
              <w:rPr>
                <w:rFonts w:ascii="Times New Roman" w:hAnsi="Times New Roman" w:eastAsia="Times New Roman"/>
                <w:sz w:val="18"/>
              </w:rPr>
              <w:t xml:space="preserve">Remote necessity alone does not establish constitution.</w:t>
            </w:r>
          </w:p>
        </w:tc>
      </w:tr>
      <w:tr>
        <w:trPr>
          <w:cantSplit/>
        </w:trPr>
        <w:tc>
          <w:tcPr>
            <w:tcW w:type="dxa" w:w="1685"/>
            <w:shd w:fill="FFFFFF" w:val="clear"/>
          </w:tcPr>
          <w:p>
            <w:pPr>
              <w:pStyle w:val="Compact"/>
              <w:spacing w:after="60"/>
            </w:pPr>
            <m:oMath>
              <m:sSub>
                <m:e>
                  <m:r>
                    <m:t>R</m:t>
                  </m:r>
                </m:e>
                <m:sub>
                  <m:r>
                    <m:t>B</m:t>
                  </m:r>
                </m:sub>
              </m:sSub>
            </m:oMath>
          </w:p>
        </w:tc>
        <w:tc>
          <w:tcPr>
            <w:tcW w:type="dxa" w:w="2808"/>
            <w:shd w:fill="FFFFFF" w:val="clear"/>
          </w:tcPr>
          <w:p>
            <w:pPr>
              <w:pStyle w:val="Compact"/>
              <w:spacing w:after="60"/>
            </w:pPr>
            <w:r>
              <w:rPr>
                <w:rFonts w:ascii="Times New Roman" w:hAnsi="Times New Roman" w:eastAsia="Times New Roman"/>
                <w:sz w:val="18"/>
              </w:rPr>
              <w:t xml:space="preserve">Boundary robustness</w:t>
            </w:r>
          </w:p>
        </w:tc>
        <w:tc>
          <w:tcPr>
            <w:tcW w:type="dxa" w:w="4867"/>
            <w:shd w:fill="FFFFFF" w:val="clear"/>
          </w:tcPr>
          <w:p>
            <w:pPr>
              <w:pStyle w:val="Compact"/>
              <w:spacing w:after="60"/>
            </w:pPr>
            <w:r>
              <w:rPr>
                <w:rFonts w:ascii="Times New Roman" w:hAnsi="Times New Roman" w:eastAsia="Times New Roman"/>
                <w:sz w:val="18"/>
              </w:rPr>
              <w:t xml:space="preserve">Must be adapted when candidates occur at different grains.</w:t>
            </w:r>
          </w:p>
        </w:tc>
      </w:tr>
    </w:tbl>
    <w:bookmarkEnd w:id="77"/>
    <w:bookmarkStart w:id="79" w:name="appendix-b-boundary-selection-protocol"/>
    <w:p>
      <w:pPr>
        <w:pStyle w:val="Heading2"/>
        <w:pageBreakBefore/>
      </w:pPr>
      <w:r>
        <w:t xml:space="preserve">Appendix B: Boundary-selection protocol</w:t>
      </w:r>
    </w:p>
    <w:tbl>
      <w:tblPr>
        <w:tblW w:type="pct" w:w="5000"/>
        <w:jc w:val="center"/>
        <w:tblLayout w:type="fixed"/>
        <w:tblLook w:firstRow="1" w:lastRow="0" w:firstColumn="0" w:lastColumn="0" w:noHBand="0" w:noVBand="0" w:val="0020"/>
      </w:tblPr>
      <w:tblGrid>
        <w:gridCol w:w="950"/>
        <w:gridCol w:w="2376"/>
        <w:gridCol w:w="1584"/>
        <w:gridCol w:w="3009"/>
      </w:tblGrid>
      <w:tr>
        <w:trPr>
          <w:tblHeader w:val="on"/>
          <w:cantSplit/>
          <w:tblHeader w:val="true"/>
        </w:trPr>
        <w:tc>
          <w:tcPr>
            <w:tcW w:type="dxa" w:w="1123"/>
            <w:shd w:fill="1C2D40" w:val="clear"/>
          </w:tcPr>
          <w:p>
            <w:pPr>
              <w:pStyle w:val="Compact"/>
              <w:spacing w:after="60"/>
            </w:pPr>
            <w:r>
              <w:rPr>
                <w:rFonts w:ascii="Times New Roman" w:hAnsi="Times New Roman" w:eastAsia="Times New Roman"/>
                <w:b/>
                <w:color w:val="FFFFFF"/>
                <w:sz w:val="18"/>
              </w:rPr>
              <w:t xml:space="preserve">Stage</w:t>
            </w:r>
          </w:p>
        </w:tc>
        <w:tc>
          <w:tcPr>
            <w:tcW w:type="dxa" w:w="2808"/>
            <w:shd w:fill="1C2D40" w:val="clear"/>
          </w:tcPr>
          <w:p>
            <w:pPr>
              <w:pStyle w:val="Compact"/>
              <w:spacing w:after="60"/>
            </w:pPr>
            <w:r>
              <w:rPr>
                <w:rFonts w:ascii="Times New Roman" w:hAnsi="Times New Roman" w:eastAsia="Times New Roman"/>
                <w:b/>
                <w:color w:val="FFFFFF"/>
                <w:sz w:val="18"/>
              </w:rPr>
              <w:t xml:space="preserve">Required action</w:t>
            </w:r>
          </w:p>
        </w:tc>
        <w:tc>
          <w:tcPr>
            <w:tcW w:type="dxa" w:w="1872"/>
            <w:shd w:fill="1C2D40" w:val="clear"/>
          </w:tcPr>
          <w:p>
            <w:pPr>
              <w:pStyle w:val="Compact"/>
              <w:spacing w:after="60"/>
            </w:pPr>
            <w:r>
              <w:rPr>
                <w:rFonts w:ascii="Times New Roman" w:hAnsi="Times New Roman" w:eastAsia="Times New Roman"/>
                <w:b/>
                <w:color w:val="FFFFFF"/>
                <w:sz w:val="18"/>
              </w:rPr>
              <w:t xml:space="preserve">Failure output</w:t>
            </w:r>
          </w:p>
        </w:tc>
        <w:tc>
          <w:tcPr>
            <w:tcW w:type="dxa" w:w="3557"/>
            <w:shd w:fill="1C2D40" w:val="clear"/>
          </w:tcPr>
          <w:p>
            <w:pPr>
              <w:pStyle w:val="Compact"/>
              <w:spacing w:after="60"/>
            </w:pPr>
            <w:r>
              <w:rPr>
                <w:rFonts w:ascii="Times New Roman" w:hAnsi="Times New Roman" w:eastAsia="Times New Roman"/>
                <w:b/>
                <w:color w:val="FFFFFF"/>
                <w:sz w:val="18"/>
              </w:rPr>
              <w:t xml:space="preserve">Guardrail</w:t>
            </w:r>
          </w:p>
        </w:tc>
      </w:tr>
      <w:tr>
        <w:trPr>
          <w:cantSplit/>
        </w:trPr>
        <w:tc>
          <w:tcPr>
            <w:tcW w:type="dxa" w:w="1123"/>
            <w:shd w:fill="FFFFFF" w:val="clear"/>
          </w:tcPr>
          <w:p>
            <w:pPr>
              <w:pStyle w:val="Compact"/>
              <w:spacing w:after="60"/>
            </w:pPr>
            <w:r>
              <w:rPr>
                <w:rFonts w:ascii="Times New Roman" w:hAnsi="Times New Roman" w:eastAsia="Times New Roman"/>
                <w:sz w:val="18"/>
              </w:rPr>
              <w:t xml:space="preserve">1. Specify target</w:t>
            </w:r>
          </w:p>
        </w:tc>
        <w:tc>
          <w:tcPr>
            <w:tcW w:type="dxa" w:w="2808"/>
            <w:shd w:fill="FFFFFF" w:val="clear"/>
          </w:tcPr>
          <w:p>
            <w:pPr>
              <w:pStyle w:val="Compact"/>
              <w:spacing w:after="60"/>
            </w:pPr>
            <w:r>
              <w:rPr>
                <w:rFonts w:ascii="Times New Roman" w:hAnsi="Times New Roman" w:eastAsia="Times New Roman"/>
                <w:sz w:val="18"/>
              </w:rPr>
              <w:t xml:space="preserve">State the consciousness target and theory-specific roles.</w:t>
            </w:r>
          </w:p>
        </w:tc>
        <w:tc>
          <w:tcPr>
            <w:tcW w:type="dxa" w:w="1872"/>
            <w:shd w:fill="FFFFFF" w:val="clear"/>
          </w:tcPr>
          <w:p>
            <w:pPr>
              <w:pStyle w:val="Compact"/>
              <w:spacing w:after="60"/>
            </w:pPr>
            <w:r>
              <w:rPr>
                <w:rFonts w:ascii="Times New Roman" w:hAnsi="Times New Roman" w:eastAsia="Times New Roman"/>
                <w:sz w:val="18"/>
              </w:rPr>
              <w:t xml:space="preserve">Unlicensed target</w:t>
            </w:r>
          </w:p>
        </w:tc>
        <w:tc>
          <w:tcPr>
            <w:tcW w:type="dxa" w:w="3557"/>
            <w:shd w:fill="FFFFFF" w:val="clear"/>
          </w:tcPr>
          <w:p>
            <w:pPr>
              <w:pStyle w:val="Compact"/>
              <w:spacing w:after="60"/>
            </w:pPr>
            <w:r>
              <w:rPr>
                <w:rFonts w:ascii="Times New Roman" w:hAnsi="Times New Roman" w:eastAsia="Times New Roman"/>
                <w:sz w:val="18"/>
              </w:rPr>
              <w:t xml:space="preserve">Do not use intelligence, report, or task success as an unstated substitute.</w:t>
            </w:r>
          </w:p>
        </w:tc>
      </w:tr>
      <w:tr>
        <w:trPr>
          <w:cantSplit/>
        </w:trPr>
        <w:tc>
          <w:tcPr>
            <w:tcW w:type="dxa" w:w="1123"/>
            <w:shd w:fill="EAF1F6" w:val="clear"/>
          </w:tcPr>
          <w:p>
            <w:pPr>
              <w:pStyle w:val="Compact"/>
              <w:spacing w:after="60"/>
            </w:pPr>
            <w:r>
              <w:rPr>
                <w:rFonts w:ascii="Times New Roman" w:hAnsi="Times New Roman" w:eastAsia="Times New Roman"/>
                <w:sz w:val="18"/>
              </w:rPr>
              <w:t xml:space="preserve">2. Declare universe</w:t>
            </w:r>
          </w:p>
        </w:tc>
        <w:tc>
          <w:tcPr>
            <w:tcW w:type="dxa" w:w="2808"/>
            <w:shd w:fill="EAF1F6" w:val="clear"/>
          </w:tcPr>
          <w:p>
            <w:pPr>
              <w:pStyle w:val="Compact"/>
              <w:spacing w:after="60"/>
            </w:pPr>
            <w:r>
              <w:rPr>
                <w:rFonts w:ascii="Times New Roman" w:hAnsi="Times New Roman" w:eastAsia="Times New Roman"/>
                <w:sz w:val="18"/>
              </w:rPr>
              <w:t xml:space="preserve">List included variables, known omissions, and interfaces.</w:t>
            </w:r>
          </w:p>
        </w:tc>
        <w:tc>
          <w:tcPr>
            <w:tcW w:type="dxa" w:w="1872"/>
            <w:shd w:fill="EAF1F6" w:val="clear"/>
          </w:tcPr>
          <w:p>
            <w:pPr>
              <w:pStyle w:val="Compact"/>
              <w:spacing w:after="60"/>
            </w:pPr>
            <w:r>
              <w:rPr>
                <w:rFonts w:ascii="Times New Roman" w:hAnsi="Times New Roman" w:eastAsia="Times New Roman"/>
                <w:sz w:val="18"/>
              </w:rPr>
              <w:t xml:space="preserve">Coverage limitation</w:t>
            </w:r>
          </w:p>
        </w:tc>
        <w:tc>
          <w:tcPr>
            <w:tcW w:type="dxa" w:w="3557"/>
            <w:shd w:fill="EAF1F6" w:val="clear"/>
          </w:tcPr>
          <w:p>
            <w:pPr>
              <w:pStyle w:val="Compact"/>
              <w:spacing w:after="60"/>
            </w:pPr>
            <w:r>
              <w:rPr>
                <w:rFonts w:ascii="Times New Roman" w:hAnsi="Times New Roman" w:eastAsia="Times New Roman"/>
                <w:sz w:val="18"/>
              </w:rPr>
              <w:t xml:space="preserve">Include leading rival boundaries, not only the favored anatomy or architecture.</w:t>
            </w:r>
          </w:p>
        </w:tc>
      </w:tr>
      <w:tr>
        <w:trPr>
          <w:cantSplit/>
        </w:trPr>
        <w:tc>
          <w:tcPr>
            <w:tcW w:type="dxa" w:w="1123"/>
            <w:shd w:fill="FFFFFF" w:val="clear"/>
          </w:tcPr>
          <w:p>
            <w:pPr>
              <w:pStyle w:val="Compact"/>
              <w:spacing w:after="60"/>
            </w:pPr>
            <w:r>
              <w:rPr>
                <w:rFonts w:ascii="Times New Roman" w:hAnsi="Times New Roman" w:eastAsia="Times New Roman"/>
                <w:sz w:val="18"/>
              </w:rPr>
              <w:t xml:space="preserve">3. Lock specification</w:t>
            </w:r>
          </w:p>
        </w:tc>
        <w:tc>
          <w:tcPr>
            <w:tcW w:type="dxa" w:w="2808"/>
            <w:shd w:fill="FFFFFF" w:val="clear"/>
          </w:tcPr>
          <w:p>
            <w:pPr>
              <w:pStyle w:val="Compact"/>
              <w:spacing w:after="60"/>
            </w:pPr>
            <w:r>
              <w:rPr>
                <w:rFonts w:ascii="Times New Roman" w:hAnsi="Times New Roman" w:eastAsia="Times New Roman"/>
                <w:sz w:val="18"/>
              </w:rPr>
              <w:t xml:space="preserve">Preregister</w:t>
            </w:r>
            <w:r>
              <w:rPr>
                <w:rFonts w:ascii="Times New Roman" w:hAnsi="Times New Roman" w:eastAsia="Times New Roman"/>
                <w:sz w:val="18"/>
              </w:rPr>
              <w:t xml:space="preserve"> </w:t>
            </w:r>
            <m:oMath>
              <m:r>
                <m:t>g</m:t>
              </m:r>
              <m:r>
                <m:rPr>
                  <m:sty m:val="p"/>
                </m:rPr>
                <m:t>,</m:t>
              </m:r>
              <m:r>
                <m:rPr>
                  <m:sty m:val="p"/>
                </m:rPr>
                <m:t>Δ</m:t>
              </m:r>
              <m:r>
                <m:rPr>
                  <m:sty m:val="p"/>
                </m:rPr>
                <m:t>,</m:t>
              </m:r>
              <m:r>
                <m:rPr>
                  <m:scr m:val="script"/>
                  <m:sty m:val="p"/>
                </m:rPr>
                <m:t>R</m:t>
              </m:r>
              <m:r>
                <m:rPr>
                  <m:sty m:val="p"/>
                </m:rPr>
                <m:t>,</m:t>
              </m:r>
              <m:r>
                <m:rPr>
                  <m:scr m:val="script"/>
                  <m:sty m:val="p"/>
                </m:rPr>
                <m:t>I</m:t>
              </m:r>
              <m:r>
                <m:rPr>
                  <m:sty m:val="p"/>
                </m:rPr>
                <m:t>,</m:t>
              </m:r>
              <m:r>
                <m:t>d</m:t>
              </m:r>
              <m:r>
                <m:rPr>
                  <m:sty m:val="p"/>
                </m:rPr>
                <m:t>,</m:t>
              </m:r>
              <m:r>
                <m:t>α</m:t>
              </m:r>
              <m:r>
                <m:rPr>
                  <m:sty m:val="p"/>
                </m:rPr>
                <m:t>,</m:t>
              </m:r>
              <m:r>
                <m:t>σ</m:t>
              </m:r>
              <m:r>
                <m:rPr>
                  <m:sty m:val="p"/>
                </m:rPr>
                <m:t>,</m:t>
              </m:r>
              <m:r>
                <m:rPr>
                  <m:sty m:val="bi"/>
                </m:rPr>
                <m:t>τ</m:t>
              </m:r>
              <m:r>
                <m:rPr>
                  <m:sty m:val="p"/>
                </m:rPr>
                <m:t>,</m:t>
              </m:r>
              <m:r>
                <m:t>ρ</m:t>
              </m:r>
            </m:oMath>
            <w:r>
              <w:rPr>
                <w:rFonts w:ascii="Times New Roman" w:hAnsi="Times New Roman" w:eastAsia="Times New Roman"/>
                <w:sz w:val="18"/>
              </w:rPr>
              <w:t xml:space="preserve">.</w:t>
            </w:r>
          </w:p>
        </w:tc>
        <w:tc>
          <w:tcPr>
            <w:tcW w:type="dxa" w:w="1872"/>
            <w:shd w:fill="FFFFFF" w:val="clear"/>
          </w:tcPr>
          <w:p>
            <w:pPr>
              <w:pStyle w:val="Compact"/>
              <w:spacing w:after="60"/>
            </w:pPr>
            <w:r>
              <w:rPr>
                <w:rFonts w:ascii="Times New Roman" w:hAnsi="Times New Roman" w:eastAsia="Times New Roman"/>
                <w:sz w:val="18"/>
              </w:rPr>
              <w:t xml:space="preserve">Unlicensed analysis</w:t>
            </w:r>
          </w:p>
        </w:tc>
        <w:tc>
          <w:tcPr>
            <w:tcW w:type="dxa" w:w="3557"/>
            <w:shd w:fill="FFFFFF" w:val="clear"/>
          </w:tcPr>
          <w:p>
            <w:pPr>
              <w:pStyle w:val="Compact"/>
              <w:spacing w:after="60"/>
            </w:pPr>
            <w:r>
              <w:rPr>
                <w:rFonts w:ascii="Times New Roman" w:hAnsi="Times New Roman" w:eastAsia="Times New Roman"/>
                <w:sz w:val="18"/>
              </w:rPr>
              <w:t xml:space="preserve">No post-result threshold tuning.</w:t>
            </w:r>
          </w:p>
        </w:tc>
      </w:tr>
      <w:tr>
        <w:trPr>
          <w:cantSplit/>
        </w:trPr>
        <w:tc>
          <w:tcPr>
            <w:tcW w:type="dxa" w:w="1123"/>
            <w:shd w:fill="EAF1F6" w:val="clear"/>
          </w:tcPr>
          <w:p>
            <w:pPr>
              <w:pStyle w:val="Compact"/>
              <w:spacing w:after="60"/>
            </w:pPr>
            <w:r>
              <w:rPr>
                <w:rFonts w:ascii="Times New Roman" w:hAnsi="Times New Roman" w:eastAsia="Times New Roman"/>
                <w:sz w:val="18"/>
              </w:rPr>
              <w:t xml:space="preserve">4. Generate candidates</w:t>
            </w:r>
          </w:p>
        </w:tc>
        <w:tc>
          <w:tcPr>
            <w:tcW w:type="dxa" w:w="2808"/>
            <w:shd w:fill="EAF1F6" w:val="clear"/>
          </w:tcPr>
          <w:p>
            <w:pPr>
              <w:pStyle w:val="Compact"/>
              <w:spacing w:after="60"/>
            </w:pPr>
            <w:r>
              <w:rPr>
                <w:rFonts w:ascii="Times New Roman" w:hAnsi="Times New Roman" w:eastAsia="Times New Roman"/>
                <w:sz w:val="18"/>
              </w:rPr>
              <w:t xml:space="preserve">Estimate causal partitions on discovery data.</w:t>
            </w:r>
          </w:p>
        </w:tc>
        <w:tc>
          <w:tcPr>
            <w:tcW w:type="dxa" w:w="1872"/>
            <w:shd w:fill="EAF1F6" w:val="clear"/>
          </w:tcPr>
          <w:p>
            <w:pPr>
              <w:pStyle w:val="Compact"/>
              <w:spacing w:after="60"/>
            </w:pPr>
            <w:r>
              <w:rPr>
                <w:rFonts w:ascii="Times New Roman" w:hAnsi="Times New Roman" w:eastAsia="Times New Roman"/>
                <w:sz w:val="18"/>
              </w:rPr>
              <w:t xml:space="preserve">No causal candidates</w:t>
            </w:r>
          </w:p>
        </w:tc>
        <w:tc>
          <w:tcPr>
            <w:tcW w:type="dxa" w:w="3557"/>
            <w:shd w:fill="EAF1F6" w:val="clear"/>
          </w:tcPr>
          <w:p>
            <w:pPr>
              <w:pStyle w:val="Compact"/>
              <w:spacing w:after="60"/>
            </w:pPr>
            <w:r>
              <w:rPr>
                <w:rFonts w:ascii="Times New Roman" w:hAnsi="Times New Roman" w:eastAsia="Times New Roman"/>
                <w:sz w:val="18"/>
              </w:rPr>
              <w:t xml:space="preserve">Do not use the final consciousness score.</w:t>
            </w:r>
          </w:p>
        </w:tc>
      </w:tr>
      <w:tr>
        <w:trPr>
          <w:cantSplit/>
        </w:trPr>
        <w:tc>
          <w:tcPr>
            <w:tcW w:type="dxa" w:w="1123"/>
            <w:shd w:fill="FFFFFF" w:val="clear"/>
          </w:tcPr>
          <w:p>
            <w:pPr>
              <w:pStyle w:val="Compact"/>
              <w:spacing w:after="60"/>
            </w:pPr>
            <w:r>
              <w:rPr>
                <w:rFonts w:ascii="Times New Roman" w:hAnsi="Times New Roman" w:eastAsia="Times New Roman"/>
                <w:sz w:val="18"/>
              </w:rPr>
              <w:t xml:space="preserve">5. Freeze boundaries</w:t>
            </w:r>
          </w:p>
        </w:tc>
        <w:tc>
          <w:tcPr>
            <w:tcW w:type="dxa" w:w="2808"/>
            <w:shd w:fill="FFFFFF" w:val="clear"/>
          </w:tcPr>
          <w:p>
            <w:pPr>
              <w:pStyle w:val="Compact"/>
              <w:spacing w:after="60"/>
            </w:pPr>
            <w:r>
              <w:rPr>
                <w:rFonts w:ascii="Times New Roman" w:hAnsi="Times New Roman" w:eastAsia="Times New Roman"/>
                <w:sz w:val="18"/>
              </w:rPr>
              <w:t xml:space="preserve">Archive candidate node lists and mappings.</w:t>
            </w:r>
          </w:p>
        </w:tc>
        <w:tc>
          <w:tcPr>
            <w:tcW w:type="dxa" w:w="1872"/>
            <w:shd w:fill="FFFFFF" w:val="clear"/>
          </w:tcPr>
          <w:p>
            <w:pPr>
              <w:pStyle w:val="Compact"/>
              <w:spacing w:after="60"/>
            </w:pPr>
            <w:r>
              <w:rPr>
                <w:rFonts w:ascii="Times New Roman" w:hAnsi="Times New Roman" w:eastAsia="Times New Roman"/>
                <w:sz w:val="18"/>
              </w:rPr>
              <w:t xml:space="preserve">Exploratory-only status</w:t>
            </w:r>
          </w:p>
        </w:tc>
        <w:tc>
          <w:tcPr>
            <w:tcW w:type="dxa" w:w="3557"/>
            <w:shd w:fill="FFFFFF" w:val="clear"/>
          </w:tcPr>
          <w:p>
            <w:pPr>
              <w:pStyle w:val="Compact"/>
              <w:spacing w:after="60"/>
            </w:pPr>
            <w:r>
              <w:rPr>
                <w:rFonts w:ascii="Times New Roman" w:hAnsi="Times New Roman" w:eastAsia="Times New Roman"/>
                <w:sz w:val="18"/>
              </w:rPr>
              <w:t xml:space="preserve">Later changes must be labeled exploratory.</w:t>
            </w:r>
          </w:p>
        </w:tc>
      </w:tr>
      <w:tr>
        <w:trPr>
          <w:cantSplit/>
        </w:trPr>
        <w:tc>
          <w:tcPr>
            <w:tcW w:type="dxa" w:w="1123"/>
            <w:shd w:fill="EAF1F6" w:val="clear"/>
          </w:tcPr>
          <w:p>
            <w:pPr>
              <w:pStyle w:val="Compact"/>
              <w:spacing w:after="60"/>
            </w:pPr>
            <w:r>
              <w:rPr>
                <w:rFonts w:ascii="Times New Roman" w:hAnsi="Times New Roman" w:eastAsia="Times New Roman"/>
                <w:sz w:val="18"/>
              </w:rPr>
              <w:t xml:space="preserve">6. Test autonomy</w:t>
            </w:r>
          </w:p>
        </w:tc>
        <w:tc>
          <w:tcPr>
            <w:tcW w:type="dxa" w:w="2808"/>
            <w:shd w:fill="EAF1F6" w:val="clear"/>
          </w:tcPr>
          <w:p>
            <w:pPr>
              <w:pStyle w:val="Compact"/>
              <w:spacing w:after="60"/>
            </w:pPr>
            <w:r>
              <w:rPr>
                <w:rFonts w:ascii="Times New Roman" w:hAnsi="Times New Roman" w:eastAsia="Times New Roman"/>
                <w:sz w:val="18"/>
              </w:rPr>
              <w:t xml:space="preserve">Estimate</w:t>
            </w:r>
            <w:r>
              <w:rPr>
                <w:rFonts w:ascii="Times New Roman" w:hAnsi="Times New Roman" w:eastAsia="Times New Roman"/>
                <w:sz w:val="18"/>
              </w:rPr>
              <w:t xml:space="preserve"> </w:t>
            </w:r>
            <m:oMath>
              <m:sSub>
                <m:e>
                  <m:r>
                    <m:t>J</m:t>
                  </m:r>
                </m:e>
                <m:sub>
                  <m:r>
                    <m:rPr>
                      <m:sty m:val="p"/>
                    </m:rPr>
                    <m:t>s</m:t>
                  </m:r>
                  <m:r>
                    <m:rPr>
                      <m:sty m:val="p"/>
                    </m:rPr>
                    <m:t>e</m:t>
                  </m:r>
                  <m:r>
                    <m:rPr>
                      <m:sty m:val="p"/>
                    </m:rPr>
                    <m:t>l</m:t>
                  </m:r>
                  <m:r>
                    <m:rPr>
                      <m:sty m:val="p"/>
                    </m:rPr>
                    <m:t>f</m:t>
                  </m:r>
                </m:sub>
              </m:sSub>
              <m:r>
                <m:rPr>
                  <m:sty m:val="p"/>
                </m:rPr>
                <m:t>,</m:t>
              </m:r>
              <m:sSub>
                <m:e>
                  <m:r>
                    <m:t>J</m:t>
                  </m:r>
                </m:e>
                <m:sub>
                  <m:r>
                    <m:rPr>
                      <m:sty m:val="p"/>
                    </m:rPr>
                    <m:t>i</m:t>
                  </m:r>
                  <m:r>
                    <m:rPr>
                      <m:sty m:val="p"/>
                    </m:rPr>
                    <m:t>n</m:t>
                  </m:r>
                </m:sub>
              </m:sSub>
              <m:r>
                <m:rPr>
                  <m:sty m:val="p"/>
                </m:rPr>
                <m:t>,</m:t>
              </m:r>
              <m:sSub>
                <m:e>
                  <m:r>
                    <m:t>A</m:t>
                  </m:r>
                </m:e>
                <m:sub>
                  <m:r>
                    <m:rPr>
                      <m:sty m:val="p"/>
                    </m:rPr>
                    <m:t>Θ</m:t>
                  </m:r>
                </m:sub>
              </m:sSub>
            </m:oMath>
            <w:r>
              <w:rPr>
                <w:rFonts w:ascii="Times New Roman" w:hAnsi="Times New Roman" w:eastAsia="Times New Roman"/>
                <w:sz w:val="18"/>
              </w:rPr>
              <w:t xml:space="preserve"> </w:t>
            </w:r>
            <w:r>
              <w:rPr>
                <w:rFonts w:ascii="Times New Roman" w:hAnsi="Times New Roman" w:eastAsia="Times New Roman"/>
                <w:sz w:val="18"/>
              </w:rPr>
              <w:t xml:space="preserve">and robustness.</w:t>
            </w:r>
          </w:p>
        </w:tc>
        <w:tc>
          <w:tcPr>
            <w:tcW w:type="dxa" w:w="1872"/>
            <w:shd w:fill="EAF1F6" w:val="clear"/>
          </w:tcPr>
          <w:p>
            <w:pPr>
              <w:pStyle w:val="Compact"/>
              <w:spacing w:after="60"/>
            </w:pPr>
            <w:r>
              <w:rPr>
                <w:rFonts w:ascii="Times New Roman" w:hAnsi="Times New Roman" w:eastAsia="Times New Roman"/>
                <w:sz w:val="18"/>
              </w:rPr>
              <w:t xml:space="preserve">Candidate rejected or indeterminate</w:t>
            </w:r>
          </w:p>
        </w:tc>
        <w:tc>
          <w:tcPr>
            <w:tcW w:type="dxa" w:w="3557"/>
            <w:shd w:fill="EAF1F6" w:val="clear"/>
          </w:tcPr>
          <w:p>
            <w:pPr>
              <w:pStyle w:val="Compact"/>
              <w:spacing w:after="60"/>
            </w:pPr>
            <w:r>
              <w:rPr>
                <w:rFonts w:ascii="Times New Roman" w:hAnsi="Times New Roman" w:eastAsia="Times New Roman"/>
                <w:sz w:val="18"/>
              </w:rPr>
              <w:t xml:space="preserve">Independence without endogenous capacity does not pass.</w:t>
            </w:r>
          </w:p>
        </w:tc>
      </w:tr>
      <w:tr>
        <w:trPr>
          <w:cantSplit/>
        </w:trPr>
        <w:tc>
          <w:tcPr>
            <w:tcW w:type="dxa" w:w="1123"/>
            <w:shd w:fill="FFFFFF" w:val="clear"/>
          </w:tcPr>
          <w:p>
            <w:pPr>
              <w:pStyle w:val="Compact"/>
              <w:spacing w:after="60"/>
            </w:pPr>
            <w:r>
              <w:rPr>
                <w:rFonts w:ascii="Times New Roman" w:hAnsi="Times New Roman" w:eastAsia="Times New Roman"/>
                <w:sz w:val="18"/>
              </w:rPr>
              <w:t xml:space="preserve">7. Test roles</w:t>
            </w:r>
          </w:p>
        </w:tc>
        <w:tc>
          <w:tcPr>
            <w:tcW w:type="dxa" w:w="2808"/>
            <w:shd w:fill="FFFFFF" w:val="clear"/>
          </w:tcPr>
          <w:p>
            <w:pPr>
              <w:pStyle w:val="Compact"/>
              <w:spacing w:after="60"/>
            </w:pPr>
            <w:r>
              <w:rPr>
                <w:rFonts w:ascii="Times New Roman" w:hAnsi="Times New Roman" w:eastAsia="Times New Roman"/>
                <w:sz w:val="18"/>
              </w:rPr>
              <w:t xml:space="preserve">Estimate integration, availability, recurrence, and viability on held-out data.</w:t>
            </w:r>
          </w:p>
        </w:tc>
        <w:tc>
          <w:tcPr>
            <w:tcW w:type="dxa" w:w="1872"/>
            <w:shd w:fill="FFFFFF" w:val="clear"/>
          </w:tcPr>
          <w:p>
            <w:pPr>
              <w:pStyle w:val="Compact"/>
              <w:spacing w:after="60"/>
            </w:pPr>
            <w:r>
              <w:rPr>
                <w:rFonts w:ascii="Times New Roman" w:hAnsi="Times New Roman" w:eastAsia="Times New Roman"/>
                <w:sz w:val="18"/>
              </w:rPr>
              <w:t xml:space="preserve">Role-incomplete or indeterminate</w:t>
            </w:r>
          </w:p>
        </w:tc>
        <w:tc>
          <w:tcPr>
            <w:tcW w:type="dxa" w:w="3557"/>
            <w:shd w:fill="FFFFFF" w:val="clear"/>
          </w:tcPr>
          <w:p>
            <w:pPr>
              <w:pStyle w:val="Compact"/>
              <w:spacing w:after="60"/>
            </w:pPr>
            <w:r>
              <w:rPr>
                <w:rFonts w:ascii="Times New Roman" w:hAnsi="Times New Roman" w:eastAsia="Times New Roman"/>
                <w:sz w:val="18"/>
              </w:rPr>
              <w:t xml:space="preserve">Preserve surrogate disagreement.</w:t>
            </w:r>
          </w:p>
        </w:tc>
      </w:tr>
      <w:tr>
        <w:trPr>
          <w:cantSplit/>
        </w:trPr>
        <w:tc>
          <w:tcPr>
            <w:tcW w:type="dxa" w:w="1123"/>
            <w:shd w:fill="EAF1F6" w:val="clear"/>
          </w:tcPr>
          <w:p>
            <w:pPr>
              <w:pStyle w:val="Compact"/>
              <w:spacing w:after="60"/>
            </w:pPr>
            <w:r>
              <w:rPr>
                <w:rFonts w:ascii="Times New Roman" w:hAnsi="Times New Roman" w:eastAsia="Times New Roman"/>
                <w:sz w:val="18"/>
              </w:rPr>
              <w:t xml:space="preserve">8. Apply minimality</w:t>
            </w:r>
          </w:p>
        </w:tc>
        <w:tc>
          <w:tcPr>
            <w:tcW w:type="dxa" w:w="2808"/>
            <w:shd w:fill="EAF1F6" w:val="clear"/>
          </w:tcPr>
          <w:p>
            <w:pPr>
              <w:pStyle w:val="Compact"/>
              <w:spacing w:after="60"/>
            </w:pPr>
            <w:r>
              <w:rPr>
                <w:rFonts w:ascii="Times New Roman" w:hAnsi="Times New Roman" w:eastAsia="Times New Roman"/>
                <w:sz w:val="18"/>
              </w:rPr>
              <w:t xml:space="preserve">Remove qualifying strict supersets at the same specification.</w:t>
            </w:r>
          </w:p>
        </w:tc>
        <w:tc>
          <w:tcPr>
            <w:tcW w:type="dxa" w:w="1872"/>
            <w:shd w:fill="EAF1F6" w:val="clear"/>
          </w:tcPr>
          <w:p>
            <w:pPr>
              <w:pStyle w:val="Compact"/>
              <w:spacing w:after="60"/>
            </w:pPr>
            <w:r>
              <w:rPr>
                <w:rFonts w:ascii="Times New Roman" w:hAnsi="Times New Roman" w:eastAsia="Times New Roman"/>
                <w:sz w:val="18"/>
              </w:rPr>
              <w:t xml:space="preserve">One, several, or no minima</w:t>
            </w:r>
          </w:p>
        </w:tc>
        <w:tc>
          <w:tcPr>
            <w:tcW w:type="dxa" w:w="3557"/>
            <w:shd w:fill="EAF1F6" w:val="clear"/>
          </w:tcPr>
          <w:p>
            <w:pPr>
              <w:pStyle w:val="Compact"/>
              <w:spacing w:after="60"/>
            </w:pPr>
            <w:r>
              <w:rPr>
                <w:rFonts w:ascii="Times New Roman" w:hAnsi="Times New Roman" w:eastAsia="Times New Roman"/>
                <w:sz w:val="18"/>
              </w:rPr>
              <w:t xml:space="preserve">Do not substitute highest score for inclusion-minimality.</w:t>
            </w:r>
          </w:p>
        </w:tc>
      </w:tr>
      <w:tr>
        <w:trPr>
          <w:cantSplit/>
        </w:trPr>
        <w:tc>
          <w:tcPr>
            <w:tcW w:type="dxa" w:w="1123"/>
            <w:shd w:fill="FFFFFF" w:val="clear"/>
          </w:tcPr>
          <w:p>
            <w:pPr>
              <w:pStyle w:val="Compact"/>
              <w:spacing w:after="60"/>
            </w:pPr>
            <w:r>
              <w:rPr>
                <w:rFonts w:ascii="Times New Roman" w:hAnsi="Times New Roman" w:eastAsia="Times New Roman"/>
                <w:sz w:val="18"/>
              </w:rPr>
              <w:t xml:space="preserve">9. Perturb and replace</w:t>
            </w:r>
          </w:p>
        </w:tc>
        <w:tc>
          <w:tcPr>
            <w:tcW w:type="dxa" w:w="2808"/>
            <w:shd w:fill="FFFFFF" w:val="clear"/>
          </w:tcPr>
          <w:p>
            <w:pPr>
              <w:pStyle w:val="Compact"/>
              <w:spacing w:after="60"/>
            </w:pPr>
            <w:r>
              <w:rPr>
                <w:rFonts w:ascii="Times New Roman" w:hAnsi="Times New Roman" w:eastAsia="Times New Roman"/>
                <w:sz w:val="18"/>
              </w:rPr>
              <w:t xml:space="preserve">Distinguish constituents, interfaces, and supports.</w:t>
            </w:r>
          </w:p>
        </w:tc>
        <w:tc>
          <w:tcPr>
            <w:tcW w:type="dxa" w:w="1872"/>
            <w:shd w:fill="FFFFFF" w:val="clear"/>
          </w:tcPr>
          <w:p>
            <w:pPr>
              <w:pStyle w:val="Compact"/>
              <w:spacing w:after="60"/>
            </w:pPr>
            <w:r>
              <w:rPr>
                <w:rFonts w:ascii="Times New Roman" w:hAnsi="Times New Roman" w:eastAsia="Times New Roman"/>
                <w:sz w:val="18"/>
              </w:rPr>
              <w:t xml:space="preserve">Constitutive status indeterminate</w:t>
            </w:r>
          </w:p>
        </w:tc>
        <w:tc>
          <w:tcPr>
            <w:tcW w:type="dxa" w:w="3557"/>
            <w:shd w:fill="FFFFFF" w:val="clear"/>
          </w:tcPr>
          <w:p>
            <w:pPr>
              <w:pStyle w:val="Compact"/>
              <w:spacing w:after="60"/>
            </w:pPr>
            <w:r>
              <w:rPr>
                <w:rFonts w:ascii="Times New Roman" w:hAnsi="Times New Roman" w:eastAsia="Times New Roman"/>
                <w:sz w:val="18"/>
              </w:rPr>
              <w:t xml:space="preserve">Compare specific restoration with generic support replacement.</w:t>
            </w:r>
          </w:p>
        </w:tc>
      </w:tr>
      <w:tr>
        <w:trPr>
          <w:cantSplit/>
        </w:trPr>
        <w:tc>
          <w:tcPr>
            <w:tcW w:type="dxa" w:w="1123"/>
            <w:shd w:fill="EAF1F6" w:val="clear"/>
          </w:tcPr>
          <w:p>
            <w:pPr>
              <w:pStyle w:val="Compact"/>
              <w:spacing w:after="60"/>
            </w:pPr>
            <w:r>
              <w:rPr>
                <w:rFonts w:ascii="Times New Roman" w:hAnsi="Times New Roman" w:eastAsia="Times New Roman"/>
                <w:sz w:val="18"/>
              </w:rPr>
              <w:t xml:space="preserve">10. Stress-test</w:t>
            </w:r>
          </w:p>
        </w:tc>
        <w:tc>
          <w:tcPr>
            <w:tcW w:type="dxa" w:w="2808"/>
            <w:shd w:fill="EAF1F6" w:val="clear"/>
          </w:tcPr>
          <w:p>
            <w:pPr>
              <w:pStyle w:val="Compact"/>
              <w:spacing w:after="60"/>
            </w:pPr>
            <w:r>
              <w:rPr>
                <w:rFonts w:ascii="Times New Roman" w:hAnsi="Times New Roman" w:eastAsia="Times New Roman"/>
                <w:sz w:val="18"/>
              </w:rPr>
              <w:t xml:space="preserve">Repeat over the preregistered neighborhood of specifications.</w:t>
            </w:r>
          </w:p>
        </w:tc>
        <w:tc>
          <w:tcPr>
            <w:tcW w:type="dxa" w:w="1872"/>
            <w:shd w:fill="EAF1F6" w:val="clear"/>
          </w:tcPr>
          <w:p>
            <w:pPr>
              <w:pStyle w:val="Compact"/>
              <w:spacing w:after="60"/>
            </w:pPr>
            <w:r>
              <w:rPr>
                <w:rFonts w:ascii="Times New Roman" w:hAnsi="Times New Roman" w:eastAsia="Times New Roman"/>
                <w:sz w:val="18"/>
              </w:rPr>
              <w:t xml:space="preserve">Boundary-indeterminate</w:t>
            </w:r>
          </w:p>
        </w:tc>
        <w:tc>
          <w:tcPr>
            <w:tcW w:type="dxa" w:w="3557"/>
            <w:shd w:fill="EAF1F6" w:val="clear"/>
          </w:tcPr>
          <w:p>
            <w:pPr>
              <w:pStyle w:val="Compact"/>
              <w:spacing w:after="60"/>
            </w:pPr>
            <w:r>
              <w:rPr>
                <w:rFonts w:ascii="Times New Roman" w:hAnsi="Times New Roman" w:eastAsia="Times New Roman"/>
                <w:sz w:val="18"/>
              </w:rPr>
              <w:t xml:space="preserve">Report the full sensitivity distribution.</w:t>
            </w:r>
          </w:p>
        </w:tc>
      </w:tr>
      <w:tr>
        <w:trPr>
          <w:cantSplit/>
        </w:trPr>
        <w:tc>
          <w:tcPr>
            <w:tcW w:type="dxa" w:w="1123"/>
            <w:shd w:fill="FFFFFF" w:val="clear"/>
          </w:tcPr>
          <w:p>
            <w:pPr>
              <w:pStyle w:val="Compact"/>
              <w:spacing w:after="60"/>
            </w:pPr>
            <w:r>
              <w:rPr>
                <w:rFonts w:ascii="Times New Roman" w:hAnsi="Times New Roman" w:eastAsia="Times New Roman"/>
                <w:sz w:val="18"/>
              </w:rPr>
              <w:t xml:space="preserve">11. Classify</w:t>
            </w:r>
          </w:p>
        </w:tc>
        <w:tc>
          <w:tcPr>
            <w:tcW w:type="dxa" w:w="2808"/>
            <w:shd w:fill="FFFFFF" w:val="clear"/>
          </w:tcPr>
          <w:p>
            <w:pPr>
              <w:pStyle w:val="Compact"/>
              <w:spacing w:after="60"/>
            </w:pPr>
            <w:r>
              <w:rPr>
                <w:rFonts w:ascii="Times New Roman" w:hAnsi="Times New Roman" w:eastAsia="Times New Roman"/>
                <w:sz w:val="18"/>
              </w:rPr>
              <w:t xml:space="preserve">Pair boundary status with theory-specific consciousness result.</w:t>
            </w:r>
          </w:p>
        </w:tc>
        <w:tc>
          <w:tcPr>
            <w:tcW w:type="dxa" w:w="1872"/>
            <w:shd w:fill="FFFFFF" w:val="clear"/>
          </w:tcPr>
          <w:p>
            <w:pPr>
              <w:pStyle w:val="Compact"/>
              <w:spacing w:after="60"/>
            </w:pPr>
            <w:r>
              <w:rPr>
                <w:rFonts w:ascii="Times New Roman" w:hAnsi="Times New Roman" w:eastAsia="Times New Roman"/>
                <w:sz w:val="18"/>
              </w:rPr>
              <w:t xml:space="preserve">Unlicensed if no stable bearer</w:t>
            </w:r>
          </w:p>
        </w:tc>
        <w:tc>
          <w:tcPr>
            <w:tcW w:type="dxa" w:w="3557"/>
            <w:shd w:fill="FFFFFF" w:val="clear"/>
          </w:tcPr>
          <w:p>
            <w:pPr>
              <w:pStyle w:val="Compact"/>
              <w:spacing w:after="60"/>
            </w:pPr>
            <w:r>
              <w:rPr>
                <w:rFonts w:ascii="Times New Roman" w:hAnsi="Times New Roman" w:eastAsia="Times New Roman"/>
                <w:sz w:val="18"/>
              </w:rPr>
              <w:t xml:space="preserve">Never issue an unindexed system-level verdict.</w:t>
            </w:r>
          </w:p>
        </w:tc>
      </w:tr>
    </w:tbl>
    <w:bookmarkStart w:id="78" w:name="appendix-b.1-compact-algorithm"/>
    <w:p>
      <w:pPr>
        <w:pStyle w:val="Heading3"/>
      </w:pPr>
      <w:r>
        <w:t xml:space="preserve">Appendix B.1 Compact algorithm</w:t>
      </w:r>
    </w:p>
    <w:p>
      <w:pPr>
        <w:pStyle w:val="Compact"/>
        <w:numPr>
          <w:ilvl w:val="0"/>
          <w:numId w:val="1009"/>
        </w:numPr>
      </w:pPr>
      <w:r>
        <w:t xml:space="preserve">Split data into</w:t>
      </w:r>
      <w:r>
        <w:t xml:space="preserve"> </w:t>
      </w:r>
      <m:oMath>
        <m:sSub>
          <m:e>
            <m:r>
              <m:t>D</m:t>
            </m:r>
          </m:e>
          <m:sub>
            <m:r>
              <m:rPr>
                <m:sty m:val="p"/>
              </m:rPr>
              <m:t>d</m:t>
            </m:r>
            <m:r>
              <m:rPr>
                <m:sty m:val="p"/>
              </m:rPr>
              <m:t>i</m:t>
            </m:r>
            <m:r>
              <m:rPr>
                <m:sty m:val="p"/>
              </m:rPr>
              <m:t>s</m:t>
            </m:r>
            <m:r>
              <m:rPr>
                <m:sty m:val="p"/>
              </m:rPr>
              <m:t>c</m:t>
            </m:r>
            <m:r>
              <m:rPr>
                <m:sty m:val="p"/>
              </m:rPr>
              <m:t>o</m:t>
            </m:r>
            <m:r>
              <m:rPr>
                <m:sty m:val="p"/>
              </m:rPr>
              <m:t>v</m:t>
            </m:r>
            <m:r>
              <m:rPr>
                <m:sty m:val="p"/>
              </m:rPr>
              <m:t>e</m:t>
            </m:r>
            <m:r>
              <m:rPr>
                <m:sty m:val="p"/>
              </m:rPr>
              <m:t>r</m:t>
            </m:r>
            <m:r>
              <m:rPr>
                <m:sty m:val="p"/>
              </m:rPr>
              <m:t>y</m:t>
            </m:r>
          </m:sub>
        </m:sSub>
      </m:oMath>
      <w:r>
        <w:t xml:space="preserve"> </w:t>
      </w:r>
      <w:r>
        <w:t xml:space="preserve">and</w:t>
      </w:r>
      <w:r>
        <w:t xml:space="preserve"> </w:t>
      </w:r>
      <m:oMath>
        <m:sSub>
          <m:e>
            <m:r>
              <m:t>D</m:t>
            </m:r>
          </m:e>
          <m:sub>
            <m:r>
              <m:rPr>
                <m:sty m:val="p"/>
              </m:rPr>
              <m:t>t</m:t>
            </m:r>
            <m:r>
              <m:rPr>
                <m:sty m:val="p"/>
              </m:rPr>
              <m:t>e</m:t>
            </m:r>
            <m:r>
              <m:rPr>
                <m:sty m:val="p"/>
              </m:rPr>
              <m:t>s</m:t>
            </m:r>
            <m:r>
              <m:rPr>
                <m:sty m:val="p"/>
              </m:rPr>
              <m:t>t</m:t>
            </m:r>
          </m:sub>
        </m:sSub>
      </m:oMath>
      <w:r>
        <w:t xml:space="preserve">.</w:t>
      </w:r>
    </w:p>
    <w:p>
      <w:pPr>
        <w:pStyle w:val="Compact"/>
        <w:numPr>
          <w:ilvl w:val="0"/>
          <w:numId w:val="1009"/>
        </w:numPr>
      </w:pPr>
      <w:r>
        <w:t xml:space="preserve">Generate candidate partitions from</w:t>
      </w:r>
      <w:r>
        <w:t xml:space="preserve"> </w:t>
      </w:r>
      <m:oMath>
        <m:sSub>
          <m:e>
            <m:r>
              <m:t>D</m:t>
            </m:r>
          </m:e>
          <m:sub>
            <m:r>
              <m:rPr>
                <m:sty m:val="p"/>
              </m:rPr>
              <m:t>d</m:t>
            </m:r>
            <m:r>
              <m:rPr>
                <m:sty m:val="p"/>
              </m:rPr>
              <m:t>i</m:t>
            </m:r>
            <m:r>
              <m:rPr>
                <m:sty m:val="p"/>
              </m:rPr>
              <m:t>s</m:t>
            </m:r>
            <m:r>
              <m:rPr>
                <m:sty m:val="p"/>
              </m:rPr>
              <m:t>c</m:t>
            </m:r>
            <m:r>
              <m:rPr>
                <m:sty m:val="p"/>
              </m:rPr>
              <m:t>o</m:t>
            </m:r>
            <m:r>
              <m:rPr>
                <m:sty m:val="p"/>
              </m:rPr>
              <m:t>v</m:t>
            </m:r>
            <m:r>
              <m:rPr>
                <m:sty m:val="p"/>
              </m:rPr>
              <m:t>e</m:t>
            </m:r>
            <m:r>
              <m:rPr>
                <m:sty m:val="p"/>
              </m:rPr>
              <m:t>r</m:t>
            </m:r>
            <m:r>
              <m:rPr>
                <m:sty m:val="p"/>
              </m:rPr>
              <m:t>y</m:t>
            </m:r>
          </m:sub>
        </m:sSub>
      </m:oMath>
      <w:r>
        <w:t xml:space="preserve"> </w:t>
      </w:r>
      <w:r>
        <w:t xml:space="preserve">using only causal-autonomy features.</w:t>
      </w:r>
    </w:p>
    <w:p>
      <w:pPr>
        <w:pStyle w:val="Compact"/>
        <w:numPr>
          <w:ilvl w:val="0"/>
          <w:numId w:val="1009"/>
        </w:numPr>
      </w:pPr>
      <w:r>
        <w:t xml:space="preserve">Reject candidates with</w:t>
      </w:r>
      <w:r>
        <w:t xml:space="preserve"> </w:t>
      </w:r>
      <m:oMath>
        <m:sSub>
          <m:e>
            <m:r>
              <m:t>J</m:t>
            </m:r>
          </m:e>
          <m:sub>
            <m:r>
              <m:rPr>
                <m:sty m:val="p"/>
              </m:rPr>
              <m:t>s</m:t>
            </m:r>
            <m:r>
              <m:rPr>
                <m:sty m:val="p"/>
              </m:rPr>
              <m:t>e</m:t>
            </m:r>
            <m:r>
              <m:rPr>
                <m:sty m:val="p"/>
              </m:rPr>
              <m:t>l</m:t>
            </m:r>
            <m:r>
              <m:rPr>
                <m:sty m:val="p"/>
              </m:rPr>
              <m:t>f</m:t>
            </m:r>
          </m:sub>
        </m:sSub>
        <m:r>
          <m:rPr>
            <m:sty m:val="p"/>
          </m:rPr>
          <m:t>&lt;</m:t>
        </m:r>
        <m:r>
          <m:t>σ</m:t>
        </m:r>
      </m:oMath>
      <w:r>
        <w:t xml:space="preserve">,</w:t>
      </w:r>
      <w:r>
        <w:t xml:space="preserve"> </w:t>
      </w:r>
      <m:oMath>
        <m:sSub>
          <m:e>
            <m:r>
              <m:t>A</m:t>
            </m:r>
          </m:e>
          <m:sub>
            <m:r>
              <m:rPr>
                <m:sty m:val="p"/>
              </m:rPr>
              <m:t>Θ</m:t>
            </m:r>
          </m:sub>
        </m:sSub>
        <m:r>
          <m:rPr>
            <m:sty m:val="p"/>
          </m:rPr>
          <m:t>&lt;</m:t>
        </m:r>
        <m:r>
          <m:t>α</m:t>
        </m:r>
      </m:oMath>
      <w:r>
        <w:t xml:space="preserve">, or robustness below</w:t>
      </w:r>
      <w:r>
        <w:t xml:space="preserve"> </w:t>
      </w:r>
      <m:oMath>
        <m:r>
          <m:t>ρ</m:t>
        </m:r>
      </m:oMath>
      <w:r>
        <w:t xml:space="preserve">.</w:t>
      </w:r>
    </w:p>
    <w:p>
      <w:pPr>
        <w:pStyle w:val="Compact"/>
        <w:numPr>
          <w:ilvl w:val="0"/>
          <w:numId w:val="1009"/>
        </w:numPr>
      </w:pPr>
      <w:r>
        <w:t xml:space="preserve">Freeze the surviving family</w:t>
      </w:r>
      <w:r>
        <w:t xml:space="preserve"> </w:t>
      </w:r>
      <m:oMath>
        <m:sSub>
          <m:e>
            <m:r>
              <m:rPr>
                <m:scr m:val="script"/>
                <m:sty m:val="p"/>
              </m:rPr>
              <m:t>P</m:t>
            </m:r>
          </m:e>
          <m:sub>
            <m:r>
              <m:rPr>
                <m:sty m:val="p"/>
              </m:rPr>
              <m:t>Θ</m:t>
            </m:r>
          </m:sub>
        </m:sSub>
      </m:oMath>
      <w:r>
        <w:t xml:space="preserve">.</w:t>
      </w:r>
    </w:p>
    <w:p>
      <w:pPr>
        <w:pStyle w:val="Compact"/>
        <w:numPr>
          <w:ilvl w:val="0"/>
          <w:numId w:val="1009"/>
        </w:numPr>
      </w:pPr>
      <w:r>
        <w:t xml:space="preserve">On</w:t>
      </w:r>
      <w:r>
        <w:t xml:space="preserve"> </w:t>
      </w:r>
      <m:oMath>
        <m:sSub>
          <m:e>
            <m:r>
              <m:t>D</m:t>
            </m:r>
          </m:e>
          <m:sub>
            <m:r>
              <m:rPr>
                <m:sty m:val="p"/>
              </m:rPr>
              <m:t>t</m:t>
            </m:r>
            <m:r>
              <m:rPr>
                <m:sty m:val="p"/>
              </m:rPr>
              <m:t>e</m:t>
            </m:r>
            <m:r>
              <m:rPr>
                <m:sty m:val="p"/>
              </m:rPr>
              <m:t>s</m:t>
            </m:r>
            <m:r>
              <m:rPr>
                <m:sty m:val="p"/>
              </m:rPr>
              <m:t>t</m:t>
            </m:r>
          </m:sub>
        </m:sSub>
      </m:oMath>
      <w:r>
        <w:t xml:space="preserve">, estimate</w:t>
      </w:r>
      <w:r>
        <w:t xml:space="preserve"> </w:t>
      </w:r>
      <m:oMath>
        <m:sSub>
          <m:e>
            <m:r>
              <m:rPr>
                <m:sty m:val="bi"/>
              </m:rPr>
              <m:t>F</m:t>
            </m:r>
          </m:e>
          <m:sub>
            <m:r>
              <m:rPr>
                <m:sty m:val="p"/>
              </m:rPr>
              <m:t>Θ</m:t>
            </m:r>
          </m:sub>
        </m:sSub>
      </m:oMath>
      <w:r>
        <w:t xml:space="preserve"> </w:t>
      </w:r>
      <w:r>
        <w:t xml:space="preserve">for every frozen candidate.</w:t>
      </w:r>
    </w:p>
    <w:p>
      <w:pPr>
        <w:pStyle w:val="Compact"/>
        <w:numPr>
          <w:ilvl w:val="0"/>
          <w:numId w:val="1009"/>
        </w:numPr>
      </w:pPr>
      <w:r>
        <w:t xml:space="preserve">Form</w:t>
      </w:r>
      <w:r>
        <w:t xml:space="preserve"> </w:t>
      </w:r>
      <m:oMath>
        <m:sSub>
          <m:e>
            <m:r>
              <m:rPr>
                <m:scr m:val="script"/>
                <m:sty m:val="p"/>
              </m:rPr>
              <m:t>Q</m:t>
            </m:r>
          </m:e>
          <m:sub>
            <m:r>
              <m:rPr>
                <m:sty m:val="p"/>
              </m:rPr>
              <m:t>Θ</m:t>
            </m:r>
          </m:sub>
        </m:sSub>
      </m:oMath>
      <w:r>
        <w:t xml:space="preserve"> </w:t>
      </w:r>
      <w:r>
        <w:t xml:space="preserve">from candidates passing every role threshold without unresolved surrogate conflict.</w:t>
      </w:r>
    </w:p>
    <w:p>
      <w:pPr>
        <w:pStyle w:val="Compact"/>
        <w:numPr>
          <w:ilvl w:val="0"/>
          <w:numId w:val="1009"/>
        </w:numPr>
      </w:pPr>
      <w:r>
        <w:t xml:space="preserve">Return</w:t>
      </w:r>
      <w:r>
        <w:t xml:space="preserve"> </w:t>
      </w:r>
      <m:oMath>
        <m:sSub>
          <m:e>
            <m:r>
              <m:rPr>
                <m:scr m:val="script"/>
                <m:sty m:val="p"/>
              </m:rPr>
              <m:t>B</m:t>
            </m:r>
          </m:e>
          <m:sub>
            <m:r>
              <m:rPr>
                <m:sty m:val="p"/>
              </m:rPr>
              <m:t>Θ</m:t>
            </m:r>
          </m:sub>
        </m:sSub>
        <m:r>
          <m:rPr>
            <m:sty m:val="p"/>
          </m:rPr>
          <m:t>=</m:t>
        </m:r>
        <m:sSub>
          <m:e>
            <m:r>
              <m:rPr>
                <m:sty m:val="p"/>
              </m:rPr>
              <m:t>Min</m:t>
            </m:r>
          </m:e>
          <m:sub>
            <m:r>
              <m:rPr>
                <m:sty m:val="p"/>
              </m:rPr>
              <m:t>⊆</m:t>
            </m:r>
          </m:sub>
        </m:sSub>
        <m:r>
          <m:rPr>
            <m:sty m:val="p"/>
          </m:rPr>
          <m:t>(</m:t>
        </m:r>
        <m:sSub>
          <m:e>
            <m:r>
              <m:rPr>
                <m:scr m:val="script"/>
                <m:sty m:val="p"/>
              </m:rPr>
              <m:t>Q</m:t>
            </m:r>
          </m:e>
          <m:sub>
            <m:r>
              <m:rPr>
                <m:sty m:val="p"/>
              </m:rPr>
              <m:t>Θ</m:t>
            </m:r>
          </m:sub>
        </m:sSub>
        <m:r>
          <m:rPr>
            <m:sty m:val="p"/>
          </m:rPr>
          <m:t>)</m:t>
        </m:r>
      </m:oMath>
      <w:r>
        <w:t xml:space="preserve">.</w:t>
      </w:r>
    </w:p>
    <w:p>
      <w:pPr>
        <w:pStyle w:val="Compact"/>
        <w:numPr>
          <w:ilvl w:val="0"/>
          <w:numId w:val="1009"/>
        </w:numPr>
      </w:pPr>
      <w:r>
        <w:t xml:space="preserve">If multiple members remain, test separability; if overlap cannot be resolved, return boundary-indeterminate.</w:t>
      </w:r>
    </w:p>
    <w:p>
      <w:pPr>
        <w:pStyle w:val="Compact"/>
        <w:numPr>
          <w:ilvl w:val="0"/>
          <w:numId w:val="1009"/>
        </w:numPr>
      </w:pPr>
      <w:r>
        <w:t xml:space="preserve">Pair the boundary status with the consciousness output and sensitivity profile.</w:t>
      </w:r>
    </w:p>
    <w:bookmarkEnd w:id="78"/>
    <w:bookmarkEnd w:id="79"/>
    <w:bookmarkStart w:id="80" w:name="appendix-c-preregistration-template"/>
    <w:p>
      <w:pPr>
        <w:pStyle w:val="Heading2"/>
        <w:pageBreakBefore/>
      </w:pPr>
      <w:r>
        <w:t xml:space="preserve">Appendix C: Preregistration template</w:t>
      </w:r>
    </w:p>
    <w:tbl>
      <w:tblPr>
        <w:tblW w:type="pct" w:w="5000"/>
        <w:jc w:val="center"/>
        <w:tblLayout w:type="fixed"/>
        <w:tblLook w:firstRow="1" w:lastRow="0" w:firstColumn="0" w:lastColumn="0" w:noHBand="0" w:noVBand="0" w:val="0020"/>
      </w:tblPr>
      <w:tblGrid>
        <w:gridCol w:w="1980"/>
        <w:gridCol w:w="5940"/>
      </w:tblGrid>
      <w:tr>
        <w:trPr>
          <w:tblHeader w:val="on"/>
          <w:cantSplit/>
          <w:tblHeader w:val="true"/>
        </w:trPr>
        <w:tc>
          <w:tcPr>
            <w:tcW w:type="dxa" w:w="2340"/>
            <w:shd w:fill="1C2D40" w:val="clear"/>
          </w:tcPr>
          <w:p>
            <w:pPr>
              <w:pStyle w:val="Compact"/>
              <w:spacing w:after="60"/>
            </w:pPr>
            <w:r>
              <w:rPr>
                <w:rFonts w:ascii="Times New Roman" w:hAnsi="Times New Roman" w:eastAsia="Times New Roman"/>
                <w:b/>
                <w:color w:val="FFFFFF"/>
                <w:sz w:val="18"/>
              </w:rPr>
              <w:t xml:space="preserve">Field</w:t>
            </w:r>
          </w:p>
        </w:tc>
        <w:tc>
          <w:tcPr>
            <w:tcW w:type="dxa" w:w="7020"/>
            <w:shd w:fill="1C2D40" w:val="clear"/>
          </w:tcPr>
          <w:p>
            <w:pPr>
              <w:pStyle w:val="Compact"/>
              <w:spacing w:after="60"/>
            </w:pPr>
            <w:r>
              <w:rPr>
                <w:rFonts w:ascii="Times New Roman" w:hAnsi="Times New Roman" w:eastAsia="Times New Roman"/>
                <w:b/>
                <w:color w:val="FFFFFF"/>
                <w:sz w:val="18"/>
              </w:rPr>
              <w:t xml:space="preserve">Required entry</w:t>
            </w:r>
          </w:p>
        </w:tc>
      </w:tr>
      <w:tr>
        <w:trPr>
          <w:cantSplit/>
        </w:trPr>
        <w:tc>
          <w:tcPr>
            <w:tcW w:type="dxa" w:w="2340"/>
            <w:shd w:fill="FFFFFF" w:val="clear"/>
          </w:tcPr>
          <w:p>
            <w:pPr>
              <w:pStyle w:val="Compact"/>
              <w:spacing w:after="60"/>
            </w:pPr>
            <w:r>
              <w:rPr>
                <w:rFonts w:ascii="Times New Roman" w:hAnsi="Times New Roman" w:eastAsia="Times New Roman"/>
                <w:sz w:val="18"/>
              </w:rPr>
              <w:t xml:space="preserve">Consciousness target</w:t>
            </w:r>
          </w:p>
        </w:tc>
        <w:tc>
          <w:tcPr>
            <w:tcW w:type="dxa" w:w="7020"/>
            <w:shd w:fill="FFFFFF" w:val="clear"/>
          </w:tcPr>
          <w:p>
            <w:pPr>
              <w:pStyle w:val="Compact"/>
              <w:spacing w:after="60"/>
            </w:pPr>
            <w:r>
              <w:rPr>
                <w:rFonts w:ascii="Times New Roman" w:hAnsi="Times New Roman" w:eastAsia="Times New Roman"/>
                <w:sz w:val="18"/>
              </w:rPr>
              <w:t xml:space="preserve">Phenomenal presence, content consciousness, sentience, access, self-consciousness, or another explicit target.</w:t>
            </w:r>
          </w:p>
        </w:tc>
      </w:tr>
      <w:tr>
        <w:trPr>
          <w:cantSplit/>
        </w:trPr>
        <w:tc>
          <w:tcPr>
            <w:tcW w:type="dxa" w:w="2340"/>
            <w:shd w:fill="EAF1F6" w:val="clear"/>
          </w:tcPr>
          <w:p>
            <w:pPr>
              <w:pStyle w:val="Compact"/>
              <w:spacing w:after="60"/>
            </w:pPr>
            <w:r>
              <w:rPr>
                <w:rFonts w:ascii="Times New Roman" w:hAnsi="Times New Roman" w:eastAsia="Times New Roman"/>
                <w:sz w:val="18"/>
              </w:rPr>
              <w:t xml:space="preserve">Theory and role bundle</w:t>
            </w:r>
          </w:p>
        </w:tc>
        <w:tc>
          <w:tcPr>
            <w:tcW w:type="dxa" w:w="7020"/>
            <w:shd w:fill="EAF1F6" w:val="clear"/>
          </w:tcPr>
          <w:p>
            <w:pPr>
              <w:pStyle w:val="Compact"/>
              <w:spacing w:after="60"/>
            </w:pPr>
            <w:r>
              <w:rPr>
                <w:rFonts w:ascii="Times New Roman" w:hAnsi="Times New Roman" w:eastAsia="Times New Roman"/>
                <w:sz w:val="18"/>
              </w:rPr>
              <w:t xml:space="preserve">The exact conditions to be tested after individuation.</w:t>
            </w:r>
          </w:p>
        </w:tc>
      </w:tr>
      <w:tr>
        <w:trPr>
          <w:cantSplit/>
        </w:trPr>
        <w:tc>
          <w:tcPr>
            <w:tcW w:type="dxa" w:w="2340"/>
            <w:shd w:fill="FFFFFF" w:val="clear"/>
          </w:tcPr>
          <w:p>
            <w:pPr>
              <w:pStyle w:val="Compact"/>
              <w:spacing w:after="60"/>
            </w:pPr>
            <w:r>
              <w:rPr>
                <w:rFonts w:ascii="Times New Roman" w:hAnsi="Times New Roman" w:eastAsia="Times New Roman"/>
                <w:sz w:val="18"/>
              </w:rPr>
              <w:t xml:space="preserve">Observational universe</w:t>
            </w:r>
            <w:r>
              <w:rPr>
                <w:rFonts w:ascii="Times New Roman" w:hAnsi="Times New Roman" w:eastAsia="Times New Roman"/>
                <w:sz w:val="18"/>
              </w:rPr>
              <w:t xml:space="preserve"> </w:t>
            </w:r>
            <m:oMath>
              <m:r>
                <m:rPr>
                  <m:sty m:val="p"/>
                </m:rPr>
                <m:t>Ω</m:t>
              </m:r>
            </m:oMath>
          </w:p>
        </w:tc>
        <w:tc>
          <w:tcPr>
            <w:tcW w:type="dxa" w:w="7020"/>
            <w:shd w:fill="FFFFFF" w:val="clear"/>
          </w:tcPr>
          <w:p>
            <w:pPr>
              <w:pStyle w:val="Compact"/>
              <w:spacing w:after="60"/>
            </w:pPr>
            <w:r>
              <w:rPr>
                <w:rFonts w:ascii="Times New Roman" w:hAnsi="Times New Roman" w:eastAsia="Times New Roman"/>
                <w:sz w:val="18"/>
              </w:rPr>
              <w:t xml:space="preserve">Nodes, bodily variables, devices, services, agents, and known omissions.</w:t>
            </w:r>
          </w:p>
        </w:tc>
      </w:tr>
      <w:tr>
        <w:trPr>
          <w:cantSplit/>
        </w:trPr>
        <w:tc>
          <w:tcPr>
            <w:tcW w:type="dxa" w:w="2340"/>
            <w:shd w:fill="EAF1F6" w:val="clear"/>
          </w:tcPr>
          <w:p>
            <w:pPr>
              <w:pStyle w:val="Compact"/>
              <w:spacing w:after="60"/>
            </w:pPr>
            <w:r>
              <w:rPr>
                <w:rFonts w:ascii="Times New Roman" w:hAnsi="Times New Roman" w:eastAsia="Times New Roman"/>
                <w:sz w:val="18"/>
              </w:rPr>
              <w:t xml:space="preserve">Grain</w:t>
            </w:r>
            <w:r>
              <w:rPr>
                <w:rFonts w:ascii="Times New Roman" w:hAnsi="Times New Roman" w:eastAsia="Times New Roman"/>
                <w:sz w:val="18"/>
              </w:rPr>
              <w:t xml:space="preserve"> </w:t>
            </w:r>
            <m:oMath>
              <m:r>
                <m:t>g</m:t>
              </m:r>
            </m:oMath>
          </w:p>
        </w:tc>
        <w:tc>
          <w:tcPr>
            <w:tcW w:type="dxa" w:w="7020"/>
            <w:shd w:fill="EAF1F6" w:val="clear"/>
          </w:tcPr>
          <w:p>
            <w:pPr>
              <w:pStyle w:val="Compact"/>
              <w:spacing w:after="60"/>
            </w:pPr>
            <w:r>
              <w:rPr>
                <w:rFonts w:ascii="Times New Roman" w:hAnsi="Times New Roman" w:eastAsia="Times New Roman"/>
                <w:sz w:val="18"/>
              </w:rPr>
              <w:t xml:space="preserve">Parcellation, coarse-graining, update interval, and cross-scale mapping.</w:t>
            </w:r>
          </w:p>
        </w:tc>
      </w:tr>
      <w:tr>
        <w:trPr>
          <w:cantSplit/>
        </w:trPr>
        <w:tc>
          <w:tcPr>
            <w:tcW w:type="dxa" w:w="2340"/>
            <w:shd w:fill="FFFFFF" w:val="clear"/>
          </w:tcPr>
          <w:p>
            <w:pPr>
              <w:pStyle w:val="Compact"/>
              <w:spacing w:after="60"/>
            </w:pPr>
            <w:r>
              <w:rPr>
                <w:rFonts w:ascii="Times New Roman" w:hAnsi="Times New Roman" w:eastAsia="Times New Roman"/>
                <w:sz w:val="18"/>
              </w:rPr>
              <w:t xml:space="preserve">Horizon</w:t>
            </w:r>
            <w:r>
              <w:rPr>
                <w:rFonts w:ascii="Times New Roman" w:hAnsi="Times New Roman" w:eastAsia="Times New Roman"/>
                <w:sz w:val="18"/>
              </w:rPr>
              <w:t xml:space="preserve"> </w:t>
            </w:r>
            <m:oMath>
              <m:r>
                <m:rPr>
                  <m:sty m:val="p"/>
                </m:rPr>
                <m:t>Δ</m:t>
              </m:r>
            </m:oMath>
          </w:p>
        </w:tc>
        <w:tc>
          <w:tcPr>
            <w:tcW w:type="dxa" w:w="7020"/>
            <w:shd w:fill="FFFFFF" w:val="clear"/>
          </w:tcPr>
          <w:p>
            <w:pPr>
              <w:pStyle w:val="Compact"/>
              <w:spacing w:after="60"/>
            </w:pPr>
            <w:r>
              <w:rPr>
                <w:rFonts w:ascii="Times New Roman" w:hAnsi="Times New Roman" w:eastAsia="Times New Roman"/>
                <w:sz w:val="18"/>
              </w:rPr>
              <w:t xml:space="preserve">Primary and sensitivity horizons with scientific justification.</w:t>
            </w:r>
          </w:p>
        </w:tc>
      </w:tr>
      <w:tr>
        <w:trPr>
          <w:cantSplit/>
        </w:trPr>
        <w:tc>
          <w:tcPr>
            <w:tcW w:type="dxa" w:w="2340"/>
            <w:shd w:fill="EAF1F6" w:val="clear"/>
          </w:tcPr>
          <w:p>
            <w:pPr>
              <w:pStyle w:val="Compact"/>
              <w:spacing w:after="60"/>
            </w:pPr>
            <w:r>
              <w:rPr>
                <w:rFonts w:ascii="Times New Roman" w:hAnsi="Times New Roman" w:eastAsia="Times New Roman"/>
                <w:sz w:val="18"/>
              </w:rPr>
              <w:t xml:space="preserve">Operating regime</w:t>
            </w:r>
            <w:r>
              <w:rPr>
                <w:rFonts w:ascii="Times New Roman" w:hAnsi="Times New Roman" w:eastAsia="Times New Roman"/>
                <w:sz w:val="18"/>
              </w:rPr>
              <w:t xml:space="preserve"> </w:t>
            </w:r>
            <m:oMath>
              <m:r>
                <m:rPr>
                  <m:scr m:val="script"/>
                  <m:sty m:val="p"/>
                </m:rPr>
                <m:t>R</m:t>
              </m:r>
            </m:oMath>
          </w:p>
        </w:tc>
        <w:tc>
          <w:tcPr>
            <w:tcW w:type="dxa" w:w="7020"/>
            <w:shd w:fill="EAF1F6" w:val="clear"/>
          </w:tcPr>
          <w:p>
            <w:pPr>
              <w:pStyle w:val="Compact"/>
              <w:spacing w:after="60"/>
            </w:pPr>
            <w:r>
              <w:rPr>
                <w:rFonts w:ascii="Times New Roman" w:hAnsi="Times New Roman" w:eastAsia="Times New Roman"/>
                <w:sz w:val="18"/>
              </w:rPr>
              <w:t xml:space="preserve">State, task, deployment condition, and stationarity assumptions.</w:t>
            </w:r>
          </w:p>
        </w:tc>
      </w:tr>
      <w:tr>
        <w:trPr>
          <w:cantSplit/>
        </w:trPr>
        <w:tc>
          <w:tcPr>
            <w:tcW w:type="dxa" w:w="2340"/>
            <w:shd w:fill="FFFFFF" w:val="clear"/>
          </w:tcPr>
          <w:p>
            <w:pPr>
              <w:pStyle w:val="Compact"/>
              <w:spacing w:after="60"/>
            </w:pPr>
            <w:r>
              <w:rPr>
                <w:rFonts w:ascii="Times New Roman" w:hAnsi="Times New Roman" w:eastAsia="Times New Roman"/>
                <w:sz w:val="18"/>
              </w:rPr>
              <w:t xml:space="preserve">Intervention family</w:t>
            </w:r>
            <w:r>
              <w:rPr>
                <w:rFonts w:ascii="Times New Roman" w:hAnsi="Times New Roman" w:eastAsia="Times New Roman"/>
                <w:sz w:val="18"/>
              </w:rPr>
              <w:t xml:space="preserve"> </w:t>
            </w:r>
            <m:oMath>
              <m:r>
                <m:rPr>
                  <m:scr m:val="script"/>
                  <m:sty m:val="p"/>
                </m:rPr>
                <m:t>I</m:t>
              </m:r>
            </m:oMath>
          </w:p>
        </w:tc>
        <w:tc>
          <w:tcPr>
            <w:tcW w:type="dxa" w:w="7020"/>
            <w:shd w:fill="FFFFFF" w:val="clear"/>
          </w:tcPr>
          <w:p>
            <w:pPr>
              <w:pStyle w:val="Compact"/>
              <w:spacing w:after="60"/>
            </w:pPr>
            <w:r>
              <w:rPr>
                <w:rFonts w:ascii="Times New Roman" w:hAnsi="Times New Roman" w:eastAsia="Times New Roman"/>
                <w:sz w:val="18"/>
              </w:rPr>
              <w:t xml:space="preserve">Direct perturbations, natural experiments, ablations, clamps, resets, or model interventions.</w:t>
            </w:r>
          </w:p>
        </w:tc>
      </w:tr>
      <w:tr>
        <w:trPr>
          <w:cantSplit/>
        </w:trPr>
        <w:tc>
          <w:tcPr>
            <w:tcW w:type="dxa" w:w="2340"/>
            <w:shd w:fill="EAF1F6" w:val="clear"/>
          </w:tcPr>
          <w:p>
            <w:pPr>
              <w:pStyle w:val="Compact"/>
              <w:spacing w:after="60"/>
            </w:pPr>
            <w:r>
              <w:rPr>
                <w:rFonts w:ascii="Times New Roman" w:hAnsi="Times New Roman" w:eastAsia="Times New Roman"/>
                <w:sz w:val="18"/>
              </w:rPr>
              <w:t xml:space="preserve">Causal estimator</w:t>
            </w:r>
          </w:p>
        </w:tc>
        <w:tc>
          <w:tcPr>
            <w:tcW w:type="dxa" w:w="7020"/>
            <w:shd w:fill="EAF1F6" w:val="clear"/>
          </w:tcPr>
          <w:p>
            <w:pPr>
              <w:pStyle w:val="Compact"/>
              <w:spacing w:after="60"/>
            </w:pPr>
            <w:r>
              <w:rPr>
                <w:rFonts w:ascii="Times New Roman" w:hAnsi="Times New Roman" w:eastAsia="Times New Roman"/>
                <w:sz w:val="18"/>
              </w:rPr>
              <w:t xml:space="preserve">Model class, assumptions, regularization, uncertainty procedure, and validation.</w:t>
            </w:r>
          </w:p>
        </w:tc>
      </w:tr>
      <w:tr>
        <w:trPr>
          <w:cantSplit/>
        </w:trPr>
        <w:tc>
          <w:tcPr>
            <w:tcW w:type="dxa" w:w="2340"/>
            <w:shd w:fill="FFFFFF" w:val="clear"/>
          </w:tcPr>
          <w:p>
            <w:pPr>
              <w:pStyle w:val="Compact"/>
              <w:spacing w:after="60"/>
            </w:pPr>
            <w:r>
              <w:rPr>
                <w:rFonts w:ascii="Times New Roman" w:hAnsi="Times New Roman" w:eastAsia="Times New Roman"/>
                <w:sz w:val="18"/>
              </w:rPr>
              <w:t xml:space="preserve">Candidate generator</w:t>
            </w:r>
          </w:p>
        </w:tc>
        <w:tc>
          <w:tcPr>
            <w:tcW w:type="dxa" w:w="7020"/>
            <w:shd w:fill="FFFFFF" w:val="clear"/>
          </w:tcPr>
          <w:p>
            <w:pPr>
              <w:pStyle w:val="Compact"/>
              <w:spacing w:after="60"/>
            </w:pPr>
            <w:r>
              <w:rPr>
                <w:rFonts w:ascii="Times New Roman" w:hAnsi="Times New Roman" w:eastAsia="Times New Roman"/>
                <w:sz w:val="18"/>
              </w:rPr>
              <w:t xml:space="preserve">Community, blanket, clustering, or search method and stopping rule.</w:t>
            </w:r>
          </w:p>
        </w:tc>
      </w:tr>
      <w:tr>
        <w:trPr>
          <w:cantSplit/>
        </w:trPr>
        <w:tc>
          <w:tcPr>
            <w:tcW w:type="dxa" w:w="2340"/>
            <w:shd w:fill="EAF1F6" w:val="clear"/>
          </w:tcPr>
          <w:p>
            <w:pPr>
              <w:pStyle w:val="Compact"/>
              <w:spacing w:after="60"/>
            </w:pPr>
            <w:r>
              <w:rPr>
                <w:rFonts w:ascii="Times New Roman" w:hAnsi="Times New Roman" w:eastAsia="Times New Roman"/>
                <w:sz w:val="18"/>
              </w:rPr>
              <w:t xml:space="preserve">Autonomy parameters</w:t>
            </w:r>
          </w:p>
        </w:tc>
        <w:tc>
          <w:tcPr>
            <w:tcW w:type="dxa" w:w="7020"/>
            <w:shd w:fill="EAF1F6" w:val="clear"/>
          </w:tcPr>
          <w:p>
            <w:pPr>
              <w:pStyle w:val="Compact"/>
              <w:spacing w:after="60"/>
            </w:pPr>
            <w:r>
              <w:rPr>
                <w:rFonts w:ascii="Times New Roman" w:hAnsi="Times New Roman" w:eastAsia="Times New Roman"/>
                <w:sz w:val="18"/>
              </w:rPr>
              <w:t xml:space="preserve">Definitions and values for</w:t>
            </w:r>
            <w:r>
              <w:rPr>
                <w:rFonts w:ascii="Times New Roman" w:hAnsi="Times New Roman" w:eastAsia="Times New Roman"/>
                <w:sz w:val="18"/>
              </w:rPr>
              <w:t xml:space="preserve"> </w:t>
            </w:r>
            <m:oMath>
              <m:r>
                <m:t>d</m:t>
              </m:r>
              <m:r>
                <m:rPr>
                  <m:sty m:val="p"/>
                </m:rPr>
                <m:t>,</m:t>
              </m:r>
              <m:r>
                <m:t>α</m:t>
              </m:r>
              <m:r>
                <m:rPr>
                  <m:sty m:val="p"/>
                </m:rPr>
                <m:t>,</m:t>
              </m:r>
              <m:r>
                <m:t>σ</m:t>
              </m:r>
            </m:oMath>
            <w:r>
              <w:rPr>
                <w:rFonts w:ascii="Times New Roman" w:hAnsi="Times New Roman" w:eastAsia="Times New Roman"/>
                <w:sz w:val="18"/>
              </w:rPr>
              <w:t xml:space="preserve">, including calibration data.</w:t>
            </w:r>
          </w:p>
        </w:tc>
      </w:tr>
      <w:tr>
        <w:trPr>
          <w:cantSplit/>
        </w:trPr>
        <w:tc>
          <w:tcPr>
            <w:tcW w:type="dxa" w:w="2340"/>
            <w:shd w:fill="FFFFFF" w:val="clear"/>
          </w:tcPr>
          <w:p>
            <w:pPr>
              <w:pStyle w:val="Compact"/>
              <w:spacing w:after="60"/>
            </w:pPr>
            <w:r>
              <w:rPr>
                <w:rFonts w:ascii="Times New Roman" w:hAnsi="Times New Roman" w:eastAsia="Times New Roman"/>
                <w:sz w:val="18"/>
              </w:rPr>
              <w:t xml:space="preserve">Role thresholds</w:t>
            </w:r>
          </w:p>
        </w:tc>
        <w:tc>
          <w:tcPr>
            <w:tcW w:type="dxa" w:w="7020"/>
            <w:shd w:fill="FFFFFF" w:val="clear"/>
          </w:tcPr>
          <w:p>
            <w:pPr>
              <w:pStyle w:val="Compact"/>
              <w:spacing w:after="60"/>
            </w:pPr>
            <w:r>
              <w:rPr>
                <w:rFonts w:ascii="Times New Roman" w:hAnsi="Times New Roman" w:eastAsia="Times New Roman"/>
                <w:sz w:val="18"/>
              </w:rPr>
              <w:t xml:space="preserve">Values for</w:t>
            </w:r>
            <w:r>
              <w:rPr>
                <w:rFonts w:ascii="Times New Roman" w:hAnsi="Times New Roman" w:eastAsia="Times New Roman"/>
                <w:sz w:val="18"/>
              </w:rPr>
              <w:t xml:space="preserve"> </w:t>
            </w:r>
            <m:oMath>
              <m:r>
                <m:rPr>
                  <m:sty m:val="bi"/>
                </m:rPr>
                <m:t>τ</m:t>
              </m:r>
            </m:oMath>
            <w:r>
              <w:rPr>
                <w:rFonts w:ascii="Times New Roman" w:hAnsi="Times New Roman" w:eastAsia="Times New Roman"/>
                <w:sz w:val="18"/>
              </w:rPr>
              <w:t xml:space="preserve"> </w:t>
            </w:r>
            <w:r>
              <w:rPr>
                <w:rFonts w:ascii="Times New Roman" w:hAnsi="Times New Roman" w:eastAsia="Times New Roman"/>
                <w:sz w:val="18"/>
              </w:rPr>
              <w:t xml:space="preserve">and surrogate-conflict policies.</w:t>
            </w:r>
          </w:p>
        </w:tc>
      </w:tr>
      <w:tr>
        <w:trPr>
          <w:cantSplit/>
        </w:trPr>
        <w:tc>
          <w:tcPr>
            <w:tcW w:type="dxa" w:w="2340"/>
            <w:shd w:fill="EAF1F6" w:val="clear"/>
          </w:tcPr>
          <w:p>
            <w:pPr>
              <w:pStyle w:val="Compact"/>
              <w:spacing w:after="60"/>
            </w:pPr>
            <w:r>
              <w:rPr>
                <w:rFonts w:ascii="Times New Roman" w:hAnsi="Times New Roman" w:eastAsia="Times New Roman"/>
                <w:sz w:val="18"/>
              </w:rPr>
              <w:t xml:space="preserve">Robustness requirement</w:t>
            </w:r>
          </w:p>
        </w:tc>
        <w:tc>
          <w:tcPr>
            <w:tcW w:type="dxa" w:w="7020"/>
            <w:shd w:fill="EAF1F6" w:val="clear"/>
          </w:tcPr>
          <w:p>
            <w:pPr>
              <w:pStyle w:val="Compact"/>
              <w:spacing w:after="60"/>
            </w:pPr>
            <w:r>
              <w:rPr>
                <w:rFonts w:ascii="Times New Roman" w:hAnsi="Times New Roman" w:eastAsia="Times New Roman"/>
                <w:sz w:val="18"/>
              </w:rPr>
              <w:t xml:space="preserve">Neighborhood</w:t>
            </w:r>
            <w:r>
              <w:rPr>
                <w:rFonts w:ascii="Times New Roman" w:hAnsi="Times New Roman" w:eastAsia="Times New Roman"/>
                <w:sz w:val="18"/>
              </w:rPr>
              <w:t xml:space="preserve"> </w:t>
            </w:r>
            <m:oMath>
              <m:r>
                <m:rPr>
                  <m:scr m:val="script"/>
                  <m:sty m:val="p"/>
                </m:rPr>
                <m:t>N</m:t>
              </m:r>
              <m:r>
                <m:rPr>
                  <m:sty m:val="p"/>
                </m:rPr>
                <m:t>(</m:t>
              </m:r>
              <m:r>
                <m:rPr>
                  <m:sty m:val="p"/>
                </m:rPr>
                <m:t>Θ</m:t>
              </m:r>
              <m:r>
                <m:rPr>
                  <m:sty m:val="p"/>
                </m:rPr>
                <m:t>)</m:t>
              </m:r>
            </m:oMath>
            <w:r>
              <w:rPr>
                <w:rFonts w:ascii="Times New Roman" w:hAnsi="Times New Roman" w:eastAsia="Times New Roman"/>
                <w:sz w:val="18"/>
              </w:rPr>
              <w:t xml:space="preserve">, mapping across grains, and threshold</w:t>
            </w:r>
            <w:r>
              <w:rPr>
                <w:rFonts w:ascii="Times New Roman" w:hAnsi="Times New Roman" w:eastAsia="Times New Roman"/>
                <w:sz w:val="18"/>
              </w:rPr>
              <w:t xml:space="preserve"> </w:t>
            </w:r>
            <m:oMath>
              <m:r>
                <m:t>ρ</m:t>
              </m:r>
            </m:oMath>
            <w:r>
              <w:rPr>
                <w:rFonts w:ascii="Times New Roman" w:hAnsi="Times New Roman" w:eastAsia="Times New Roman"/>
                <w:sz w:val="18"/>
              </w:rPr>
              <w:t xml:space="preserve">.</w:t>
            </w:r>
          </w:p>
        </w:tc>
      </w:tr>
      <w:tr>
        <w:trPr>
          <w:cantSplit/>
        </w:trPr>
        <w:tc>
          <w:tcPr>
            <w:tcW w:type="dxa" w:w="2340"/>
            <w:shd w:fill="FFFFFF" w:val="clear"/>
          </w:tcPr>
          <w:p>
            <w:pPr>
              <w:pStyle w:val="Compact"/>
              <w:spacing w:after="60"/>
            </w:pPr>
            <w:r>
              <w:rPr>
                <w:rFonts w:ascii="Times New Roman" w:hAnsi="Times New Roman" w:eastAsia="Times New Roman"/>
                <w:sz w:val="18"/>
              </w:rPr>
              <w:t xml:space="preserve">Replacement tests</w:t>
            </w:r>
          </w:p>
        </w:tc>
        <w:tc>
          <w:tcPr>
            <w:tcW w:type="dxa" w:w="7020"/>
            <w:shd w:fill="FFFFFF" w:val="clear"/>
          </w:tcPr>
          <w:p>
            <w:pPr>
              <w:pStyle w:val="Compact"/>
              <w:spacing w:after="60"/>
            </w:pPr>
            <w:r>
              <w:rPr>
                <w:rFonts w:ascii="Times New Roman" w:hAnsi="Times New Roman" w:eastAsia="Times New Roman"/>
                <w:sz w:val="18"/>
              </w:rPr>
              <w:t xml:space="preserve">Generic supports and specific dynamics to be restored for each disputed component.</w:t>
            </w:r>
          </w:p>
        </w:tc>
      </w:tr>
      <w:tr>
        <w:trPr>
          <w:cantSplit/>
        </w:trPr>
        <w:tc>
          <w:tcPr>
            <w:tcW w:type="dxa" w:w="2340"/>
            <w:shd w:fill="EAF1F6" w:val="clear"/>
          </w:tcPr>
          <w:p>
            <w:pPr>
              <w:pStyle w:val="Compact"/>
              <w:spacing w:after="60"/>
            </w:pPr>
            <w:r>
              <w:rPr>
                <w:rFonts w:ascii="Times New Roman" w:hAnsi="Times New Roman" w:eastAsia="Times New Roman"/>
                <w:sz w:val="18"/>
              </w:rPr>
              <w:t xml:space="preserve">Multiplicity rule</w:t>
            </w:r>
          </w:p>
        </w:tc>
        <w:tc>
          <w:tcPr>
            <w:tcW w:type="dxa" w:w="7020"/>
            <w:shd w:fill="EAF1F6" w:val="clear"/>
          </w:tcPr>
          <w:p>
            <w:pPr>
              <w:pStyle w:val="Compact"/>
              <w:spacing w:after="60"/>
            </w:pPr>
            <w:r>
              <w:rPr>
                <w:rFonts w:ascii="Times New Roman" w:hAnsi="Times New Roman" w:eastAsia="Times New Roman"/>
                <w:sz w:val="18"/>
              </w:rPr>
              <w:t xml:space="preserve">Separation test and treatment of disjoint, overlapping, and nested candidates.</w:t>
            </w:r>
          </w:p>
        </w:tc>
      </w:tr>
      <w:tr>
        <w:trPr>
          <w:cantSplit/>
        </w:trPr>
        <w:tc>
          <w:tcPr>
            <w:tcW w:type="dxa" w:w="2340"/>
            <w:shd w:fill="FFFFFF" w:val="clear"/>
          </w:tcPr>
          <w:p>
            <w:pPr>
              <w:pStyle w:val="Compact"/>
              <w:spacing w:after="60"/>
            </w:pPr>
            <w:r>
              <w:rPr>
                <w:rFonts w:ascii="Times New Roman" w:hAnsi="Times New Roman" w:eastAsia="Times New Roman"/>
                <w:sz w:val="18"/>
              </w:rPr>
              <w:t xml:space="preserve">Data separation</w:t>
            </w:r>
          </w:p>
        </w:tc>
        <w:tc>
          <w:tcPr>
            <w:tcW w:type="dxa" w:w="7020"/>
            <w:shd w:fill="FFFFFF" w:val="clear"/>
          </w:tcPr>
          <w:p>
            <w:pPr>
              <w:pStyle w:val="Compact"/>
              <w:spacing w:after="60"/>
            </w:pPr>
            <w:r>
              <w:rPr>
                <w:rFonts w:ascii="Times New Roman" w:hAnsi="Times New Roman" w:eastAsia="Times New Roman"/>
                <w:sz w:val="18"/>
              </w:rPr>
              <w:t xml:space="preserve">Discovery/test split, held-out conditions, and exploratory exceptions.</w:t>
            </w:r>
          </w:p>
        </w:tc>
      </w:tr>
      <w:tr>
        <w:trPr>
          <w:cantSplit/>
        </w:trPr>
        <w:tc>
          <w:tcPr>
            <w:tcW w:type="dxa" w:w="2340"/>
            <w:shd w:fill="EAF1F6" w:val="clear"/>
          </w:tcPr>
          <w:p>
            <w:pPr>
              <w:pStyle w:val="Compact"/>
              <w:spacing w:after="60"/>
            </w:pPr>
            <w:r>
              <w:rPr>
                <w:rFonts w:ascii="Times New Roman" w:hAnsi="Times New Roman" w:eastAsia="Times New Roman"/>
                <w:sz w:val="18"/>
              </w:rPr>
              <w:t xml:space="preserve">Reporting commitment</w:t>
            </w:r>
          </w:p>
        </w:tc>
        <w:tc>
          <w:tcPr>
            <w:tcW w:type="dxa" w:w="7020"/>
            <w:shd w:fill="EAF1F6" w:val="clear"/>
          </w:tcPr>
          <w:p>
            <w:pPr>
              <w:pStyle w:val="Compact"/>
              <w:spacing w:after="60"/>
            </w:pPr>
            <w:r>
              <w:rPr>
                <w:rFonts w:ascii="Times New Roman" w:hAnsi="Times New Roman" w:eastAsia="Times New Roman"/>
                <w:sz w:val="18"/>
              </w:rPr>
              <w:t xml:space="preserve">Boundary family, rejected candidates, sensitivity distribution, and paired consciousness output.</w:t>
            </w:r>
          </w:p>
        </w:tc>
      </w:tr>
    </w:tbl>
    <w:bookmarkEnd w:id="80"/>
    <w:bookmarkStart w:id="81" w:name="appendix-d-case-analysis-matrix"/>
    <w:p>
      <w:pPr>
        <w:pStyle w:val="Heading2"/>
        <w:pageBreakBefore/>
      </w:pPr>
      <w:r>
        <w:t xml:space="preserve">Appendix D: Case-analysis matrix</w:t>
      </w:r>
    </w:p>
    <w:tbl>
      <w:tblPr>
        <w:tblW w:type="pct" w:w="5000"/>
        <w:jc w:val="center"/>
        <w:tblLayout w:type="fixed"/>
        <w:tblLook w:firstRow="1" w:lastRow="0" w:firstColumn="0" w:lastColumn="0" w:noHBand="0" w:noVBand="0" w:val="0020"/>
      </w:tblPr>
      <w:tblGrid>
        <w:gridCol w:w="1188"/>
        <w:gridCol w:w="1900"/>
        <w:gridCol w:w="2138"/>
        <w:gridCol w:w="2692"/>
      </w:tblGrid>
      <w:tr>
        <w:trPr>
          <w:tblHeader w:val="on"/>
          <w:cantSplit/>
          <w:tblHeader w:val="true"/>
        </w:trPr>
        <w:tc>
          <w:tcPr>
            <w:tcW w:type="dxa" w:w="1404"/>
            <w:shd w:fill="1C2D40" w:val="clear"/>
          </w:tcPr>
          <w:p>
            <w:pPr>
              <w:pStyle w:val="Compact"/>
              <w:spacing w:after="60"/>
            </w:pPr>
            <w:r>
              <w:rPr>
                <w:rFonts w:ascii="Times New Roman" w:hAnsi="Times New Roman" w:eastAsia="Times New Roman"/>
                <w:b/>
                <w:color w:val="FFFFFF"/>
                <w:sz w:val="18"/>
              </w:rPr>
              <w:t xml:space="preserve">Case</w:t>
            </w:r>
          </w:p>
        </w:tc>
        <w:tc>
          <w:tcPr>
            <w:tcW w:type="dxa" w:w="2246"/>
            <w:shd w:fill="1C2D40" w:val="clear"/>
          </w:tcPr>
          <w:p>
            <w:pPr>
              <w:pStyle w:val="Compact"/>
              <w:spacing w:after="60"/>
            </w:pPr>
            <w:r>
              <w:rPr>
                <w:rFonts w:ascii="Times New Roman" w:hAnsi="Times New Roman" w:eastAsia="Times New Roman"/>
                <w:b/>
                <w:color w:val="FFFFFF"/>
                <w:sz w:val="18"/>
              </w:rPr>
              <w:t xml:space="preserve">Competing boundaries</w:t>
            </w:r>
          </w:p>
        </w:tc>
        <w:tc>
          <w:tcPr>
            <w:tcW w:type="dxa" w:w="2527"/>
            <w:shd w:fill="1C2D40" w:val="clear"/>
          </w:tcPr>
          <w:p>
            <w:pPr>
              <w:pStyle w:val="Compact"/>
              <w:spacing w:after="60"/>
            </w:pPr>
            <w:r>
              <w:rPr>
                <w:rFonts w:ascii="Times New Roman" w:hAnsi="Times New Roman" w:eastAsia="Times New Roman"/>
                <w:b/>
                <w:color w:val="FFFFFF"/>
                <w:sz w:val="18"/>
              </w:rPr>
              <w:t xml:space="preserve">Decisive perturbation</w:t>
            </w:r>
          </w:p>
        </w:tc>
        <w:tc>
          <w:tcPr>
            <w:tcW w:type="dxa" w:w="3182"/>
            <w:shd w:fill="1C2D40" w:val="clear"/>
          </w:tcPr>
          <w:p>
            <w:pPr>
              <w:pStyle w:val="Compact"/>
              <w:spacing w:after="60"/>
            </w:pPr>
            <w:r>
              <w:rPr>
                <w:rFonts w:ascii="Times New Roman" w:hAnsi="Times New Roman" w:eastAsia="Times New Roman"/>
                <w:b/>
                <w:color w:val="FFFFFF"/>
                <w:sz w:val="18"/>
              </w:rPr>
              <w:t xml:space="preserve">Likely error if boundary is assumed</w:t>
            </w:r>
          </w:p>
        </w:tc>
      </w:tr>
      <w:tr>
        <w:trPr>
          <w:cantSplit/>
        </w:trPr>
        <w:tc>
          <w:tcPr>
            <w:tcW w:type="dxa" w:w="1404"/>
            <w:shd w:fill="FFFFFF" w:val="clear"/>
          </w:tcPr>
          <w:p>
            <w:pPr>
              <w:pStyle w:val="Compact"/>
              <w:spacing w:after="60"/>
            </w:pPr>
            <w:r>
              <w:rPr>
                <w:rFonts w:ascii="Times New Roman" w:hAnsi="Times New Roman" w:eastAsia="Times New Roman"/>
                <w:sz w:val="18"/>
              </w:rPr>
              <w:t xml:space="preserve">Nested neural networks</w:t>
            </w:r>
          </w:p>
        </w:tc>
        <w:tc>
          <w:tcPr>
            <w:tcW w:type="dxa" w:w="2246"/>
            <w:shd w:fill="FFFFFF" w:val="clear"/>
          </w:tcPr>
          <w:p>
            <w:pPr>
              <w:pStyle w:val="Compact"/>
              <w:spacing w:after="60"/>
            </w:pPr>
            <w:r>
              <w:rPr>
                <w:rFonts w:ascii="Times New Roman" w:hAnsi="Times New Roman" w:eastAsia="Times New Roman"/>
                <w:sz w:val="18"/>
              </w:rPr>
              <w:t xml:space="preserve">Local loop; cortical network; thalamocortical system</w:t>
            </w:r>
          </w:p>
        </w:tc>
        <w:tc>
          <w:tcPr>
            <w:tcW w:type="dxa" w:w="2527"/>
            <w:shd w:fill="FFFFFF" w:val="clear"/>
          </w:tcPr>
          <w:p>
            <w:pPr>
              <w:pStyle w:val="Compact"/>
              <w:spacing w:after="60"/>
            </w:pPr>
            <w:r>
              <w:rPr>
                <w:rFonts w:ascii="Times New Roman" w:hAnsi="Times New Roman" w:eastAsia="Times New Roman"/>
                <w:sz w:val="18"/>
              </w:rPr>
              <w:t xml:space="preserve">Perturb each level while preserving generic input and viability</w:t>
            </w:r>
          </w:p>
        </w:tc>
        <w:tc>
          <w:tcPr>
            <w:tcW w:type="dxa" w:w="3182"/>
            <w:shd w:fill="FFFFFF" w:val="clear"/>
          </w:tcPr>
          <w:p>
            <w:pPr>
              <w:pStyle w:val="Compact"/>
              <w:spacing w:after="60"/>
            </w:pPr>
            <w:r>
              <w:rPr>
                <w:rFonts w:ascii="Times New Roman" w:hAnsi="Times New Roman" w:eastAsia="Times New Roman"/>
                <w:sz w:val="18"/>
              </w:rPr>
              <w:t xml:space="preserve">Proliferating subjects at every recurrent scale or forcing one whole-brain subject.</w:t>
            </w:r>
          </w:p>
        </w:tc>
      </w:tr>
      <w:tr>
        <w:trPr>
          <w:cantSplit/>
        </w:trPr>
        <w:tc>
          <w:tcPr>
            <w:tcW w:type="dxa" w:w="1404"/>
            <w:shd w:fill="EAF1F6" w:val="clear"/>
          </w:tcPr>
          <w:p>
            <w:pPr>
              <w:pStyle w:val="Compact"/>
              <w:spacing w:after="60"/>
            </w:pPr>
            <w:r>
              <w:rPr>
                <w:rFonts w:ascii="Times New Roman" w:hAnsi="Times New Roman" w:eastAsia="Times New Roman"/>
                <w:sz w:val="18"/>
              </w:rPr>
              <w:t xml:space="preserve">Split brain</w:t>
            </w:r>
          </w:p>
        </w:tc>
        <w:tc>
          <w:tcPr>
            <w:tcW w:type="dxa" w:w="2246"/>
            <w:shd w:fill="EAF1F6" w:val="clear"/>
          </w:tcPr>
          <w:p>
            <w:pPr>
              <w:pStyle w:val="Compact"/>
              <w:spacing w:after="60"/>
            </w:pPr>
            <w:r>
              <w:rPr>
                <w:rFonts w:ascii="Times New Roman" w:hAnsi="Times New Roman" w:eastAsia="Times New Roman"/>
                <w:sz w:val="18"/>
              </w:rPr>
              <w:t xml:space="preserve">Left hemisphere; right hemisphere; residual whole system</w:t>
            </w:r>
          </w:p>
        </w:tc>
        <w:tc>
          <w:tcPr>
            <w:tcW w:type="dxa" w:w="2527"/>
            <w:shd w:fill="EAF1F6" w:val="clear"/>
          </w:tcPr>
          <w:p>
            <w:pPr>
              <w:pStyle w:val="Compact"/>
              <w:spacing w:after="60"/>
            </w:pPr>
            <w:r>
              <w:rPr>
                <w:rFonts w:ascii="Times New Roman" w:hAnsi="Times New Roman" w:eastAsia="Times New Roman"/>
                <w:sz w:val="18"/>
              </w:rPr>
              <w:t xml:space="preserve">Lateral perturbation plus subcortical and cross-cueing controls</w:t>
            </w:r>
          </w:p>
        </w:tc>
        <w:tc>
          <w:tcPr>
            <w:tcW w:type="dxa" w:w="3182"/>
            <w:shd w:fill="EAF1F6" w:val="clear"/>
          </w:tcPr>
          <w:p>
            <w:pPr>
              <w:pStyle w:val="Compact"/>
              <w:spacing w:after="60"/>
            </w:pPr>
            <w:r>
              <w:rPr>
                <w:rFonts w:ascii="Times New Roman" w:hAnsi="Times New Roman" w:eastAsia="Times New Roman"/>
                <w:sz w:val="18"/>
              </w:rPr>
              <w:t xml:space="preserve">Counting anatomy rather than autonomous role-complete dynamics.</w:t>
            </w:r>
          </w:p>
        </w:tc>
      </w:tr>
      <w:tr>
        <w:trPr>
          <w:cantSplit/>
        </w:trPr>
        <w:tc>
          <w:tcPr>
            <w:tcW w:type="dxa" w:w="1404"/>
            <w:shd w:fill="FFFFFF" w:val="clear"/>
          </w:tcPr>
          <w:p>
            <w:pPr>
              <w:pStyle w:val="Compact"/>
              <w:spacing w:after="60"/>
            </w:pPr>
            <w:r>
              <w:rPr>
                <w:rFonts w:ascii="Times New Roman" w:hAnsi="Times New Roman" w:eastAsia="Times New Roman"/>
                <w:sz w:val="18"/>
              </w:rPr>
              <w:t xml:space="preserve">Cortex-subcortex</w:t>
            </w:r>
          </w:p>
        </w:tc>
        <w:tc>
          <w:tcPr>
            <w:tcW w:type="dxa" w:w="2246"/>
            <w:shd w:fill="FFFFFF" w:val="clear"/>
          </w:tcPr>
          <w:p>
            <w:pPr>
              <w:pStyle w:val="Compact"/>
              <w:spacing w:after="60"/>
            </w:pPr>
            <w:r>
              <w:rPr>
                <w:rFonts w:ascii="Times New Roman" w:hAnsi="Times New Roman" w:eastAsia="Times New Roman"/>
                <w:sz w:val="18"/>
              </w:rPr>
              <w:t xml:space="preserve">Cortex only; cortex-thalamus; whole brain</w:t>
            </w:r>
          </w:p>
        </w:tc>
        <w:tc>
          <w:tcPr>
            <w:tcW w:type="dxa" w:w="2527"/>
            <w:shd w:fill="FFFFFF" w:val="clear"/>
          </w:tcPr>
          <w:p>
            <w:pPr>
              <w:pStyle w:val="Compact"/>
              <w:spacing w:after="60"/>
            </w:pPr>
            <w:r>
              <w:rPr>
                <w:rFonts w:ascii="Times New Roman" w:hAnsi="Times New Roman" w:eastAsia="Times New Roman"/>
                <w:sz w:val="18"/>
              </w:rPr>
              <w:t xml:space="preserve">Patterned thalamic/brainstem intervention versus tonic replacement</w:t>
            </w:r>
          </w:p>
        </w:tc>
        <w:tc>
          <w:tcPr>
            <w:tcW w:type="dxa" w:w="3182"/>
            <w:shd w:fill="FFFFFF" w:val="clear"/>
          </w:tcPr>
          <w:p>
            <w:pPr>
              <w:pStyle w:val="Compact"/>
              <w:spacing w:after="60"/>
            </w:pPr>
            <w:r>
              <w:rPr>
                <w:rFonts w:ascii="Times New Roman" w:hAnsi="Times New Roman" w:eastAsia="Times New Roman"/>
                <w:sz w:val="18"/>
              </w:rPr>
              <w:t xml:space="preserve">Treating constitutive loops as background or tonic support as a subject component.</w:t>
            </w:r>
          </w:p>
        </w:tc>
      </w:tr>
      <w:tr>
        <w:trPr>
          <w:cantSplit/>
        </w:trPr>
        <w:tc>
          <w:tcPr>
            <w:tcW w:type="dxa" w:w="1404"/>
            <w:shd w:fill="EAF1F6" w:val="clear"/>
          </w:tcPr>
          <w:p>
            <w:pPr>
              <w:pStyle w:val="Compact"/>
              <w:spacing w:after="60"/>
            </w:pPr>
            <w:r>
              <w:rPr>
                <w:rFonts w:ascii="Times New Roman" w:hAnsi="Times New Roman" w:eastAsia="Times New Roman"/>
                <w:sz w:val="18"/>
              </w:rPr>
              <w:t xml:space="preserve">Brain-body</w:t>
            </w:r>
          </w:p>
        </w:tc>
        <w:tc>
          <w:tcPr>
            <w:tcW w:type="dxa" w:w="2246"/>
            <w:shd w:fill="EAF1F6" w:val="clear"/>
          </w:tcPr>
          <w:p>
            <w:pPr>
              <w:pStyle w:val="Compact"/>
              <w:spacing w:after="60"/>
            </w:pPr>
            <w:r>
              <w:rPr>
                <w:rFonts w:ascii="Times New Roman" w:hAnsi="Times New Roman" w:eastAsia="Times New Roman"/>
                <w:sz w:val="18"/>
              </w:rPr>
              <w:t xml:space="preserve">Brain; brain-interoceptive loop; whole organism</w:t>
            </w:r>
          </w:p>
        </w:tc>
        <w:tc>
          <w:tcPr>
            <w:tcW w:type="dxa" w:w="2527"/>
            <w:shd w:fill="EAF1F6" w:val="clear"/>
          </w:tcPr>
          <w:p>
            <w:pPr>
              <w:pStyle w:val="Compact"/>
              <w:spacing w:after="60"/>
            </w:pPr>
            <w:r>
              <w:rPr>
                <w:rFonts w:ascii="Times New Roman" w:hAnsi="Times New Roman" w:eastAsia="Times New Roman"/>
                <w:sz w:val="18"/>
              </w:rPr>
              <w:t xml:space="preserve">Temporary support replacement across multiple horizons</w:t>
            </w:r>
          </w:p>
        </w:tc>
        <w:tc>
          <w:tcPr>
            <w:tcW w:type="dxa" w:w="3182"/>
            <w:shd w:fill="EAF1F6" w:val="clear"/>
          </w:tcPr>
          <w:p>
            <w:pPr>
              <w:pStyle w:val="Compact"/>
              <w:spacing w:after="60"/>
            </w:pPr>
            <w:r>
              <w:rPr>
                <w:rFonts w:ascii="Times New Roman" w:hAnsi="Times New Roman" w:eastAsia="Times New Roman"/>
                <w:sz w:val="18"/>
              </w:rPr>
              <w:t xml:space="preserve">Expanding to the whole body from remote necessity or excluding constitutive affective loops.</w:t>
            </w:r>
          </w:p>
        </w:tc>
      </w:tr>
      <w:tr>
        <w:trPr>
          <w:cantSplit/>
        </w:trPr>
        <w:tc>
          <w:tcPr>
            <w:tcW w:type="dxa" w:w="1404"/>
            <w:shd w:fill="FFFFFF" w:val="clear"/>
          </w:tcPr>
          <w:p>
            <w:pPr>
              <w:pStyle w:val="Compact"/>
              <w:spacing w:after="60"/>
            </w:pPr>
            <w:r>
              <w:rPr>
                <w:rFonts w:ascii="Times New Roman" w:hAnsi="Times New Roman" w:eastAsia="Times New Roman"/>
                <w:sz w:val="18"/>
              </w:rPr>
              <w:t xml:space="preserve">Coupled agents</w:t>
            </w:r>
          </w:p>
        </w:tc>
        <w:tc>
          <w:tcPr>
            <w:tcW w:type="dxa" w:w="2246"/>
            <w:shd w:fill="FFFFFF" w:val="clear"/>
          </w:tcPr>
          <w:p>
            <w:pPr>
              <w:pStyle w:val="Compact"/>
              <w:spacing w:after="60"/>
            </w:pPr>
            <w:r>
              <w:rPr>
                <w:rFonts w:ascii="Times New Roman" w:hAnsi="Times New Roman" w:eastAsia="Times New Roman"/>
                <w:sz w:val="18"/>
              </w:rPr>
              <w:t xml:space="preserve">Each agent; dyad; group-plus-artifact</w:t>
            </w:r>
          </w:p>
        </w:tc>
        <w:tc>
          <w:tcPr>
            <w:tcW w:type="dxa" w:w="2527"/>
            <w:shd w:fill="FFFFFF" w:val="clear"/>
          </w:tcPr>
          <w:p>
            <w:pPr>
              <w:pStyle w:val="Compact"/>
              <w:spacing w:after="60"/>
            </w:pPr>
            <w:r>
              <w:rPr>
                <w:rFonts w:ascii="Times New Roman" w:hAnsi="Times New Roman" w:eastAsia="Times New Roman"/>
                <w:sz w:val="18"/>
              </w:rPr>
              <w:t xml:space="preserve">Channel interruption and independent-role preservation</w:t>
            </w:r>
          </w:p>
        </w:tc>
        <w:tc>
          <w:tcPr>
            <w:tcW w:type="dxa" w:w="3182"/>
            <w:shd w:fill="FFFFFF" w:val="clear"/>
          </w:tcPr>
          <w:p>
            <w:pPr>
              <w:pStyle w:val="Compact"/>
              <w:spacing w:after="60"/>
            </w:pPr>
            <w:r>
              <w:rPr>
                <w:rFonts w:ascii="Times New Roman" w:hAnsi="Times New Roman" w:eastAsia="Times New Roman"/>
                <w:sz w:val="18"/>
              </w:rPr>
              <w:t xml:space="preserve">Mistaking synchrony, communication, or common input for one subject.</w:t>
            </w:r>
          </w:p>
        </w:tc>
      </w:tr>
      <w:tr>
        <w:trPr>
          <w:cantSplit/>
        </w:trPr>
        <w:tc>
          <w:tcPr>
            <w:tcW w:type="dxa" w:w="1404"/>
            <w:shd w:fill="EAF1F6" w:val="clear"/>
          </w:tcPr>
          <w:p>
            <w:pPr>
              <w:pStyle w:val="Compact"/>
              <w:spacing w:after="60"/>
            </w:pPr>
            <w:r>
              <w:rPr>
                <w:rFonts w:ascii="Times New Roman" w:hAnsi="Times New Roman" w:eastAsia="Times New Roman"/>
                <w:sz w:val="18"/>
              </w:rPr>
              <w:t xml:space="preserve">Organoid-computer</w:t>
            </w:r>
          </w:p>
        </w:tc>
        <w:tc>
          <w:tcPr>
            <w:tcW w:type="dxa" w:w="2246"/>
            <w:shd w:fill="EAF1F6" w:val="clear"/>
          </w:tcPr>
          <w:p>
            <w:pPr>
              <w:pStyle w:val="Compact"/>
              <w:spacing w:after="60"/>
            </w:pPr>
            <w:r>
              <w:rPr>
                <w:rFonts w:ascii="Times New Roman" w:hAnsi="Times New Roman" w:eastAsia="Times New Roman"/>
                <w:sz w:val="18"/>
              </w:rPr>
              <w:t xml:space="preserve">Tissue; tissue-electrode loop; full controller assembly</w:t>
            </w:r>
          </w:p>
        </w:tc>
        <w:tc>
          <w:tcPr>
            <w:tcW w:type="dxa" w:w="2527"/>
            <w:shd w:fill="EAF1F6" w:val="clear"/>
          </w:tcPr>
          <w:p>
            <w:pPr>
              <w:pStyle w:val="Compact"/>
              <w:spacing w:after="60"/>
            </w:pPr>
            <w:r>
              <w:rPr>
                <w:rFonts w:ascii="Times New Roman" w:hAnsi="Times New Roman" w:eastAsia="Times New Roman"/>
                <w:sz w:val="18"/>
              </w:rPr>
              <w:t xml:space="preserve">Controller, memory, and feedback substitution</w:t>
            </w:r>
          </w:p>
        </w:tc>
        <w:tc>
          <w:tcPr>
            <w:tcW w:type="dxa" w:w="3182"/>
            <w:shd w:fill="EAF1F6" w:val="clear"/>
          </w:tcPr>
          <w:p>
            <w:pPr>
              <w:pStyle w:val="Compact"/>
              <w:spacing w:after="60"/>
            </w:pPr>
            <w:r>
              <w:rPr>
                <w:rFonts w:ascii="Times New Roman" w:hAnsi="Times New Roman" w:eastAsia="Times New Roman"/>
                <w:sz w:val="18"/>
              </w:rPr>
              <w:t xml:space="preserve">Calling the apparatus conscious because it closes a task loop.</w:t>
            </w:r>
          </w:p>
        </w:tc>
      </w:tr>
      <w:tr>
        <w:trPr>
          <w:cantSplit/>
        </w:trPr>
        <w:tc>
          <w:tcPr>
            <w:tcW w:type="dxa" w:w="1404"/>
            <w:shd w:fill="FFFFFF" w:val="clear"/>
          </w:tcPr>
          <w:p>
            <w:pPr>
              <w:pStyle w:val="Compact"/>
              <w:spacing w:after="60"/>
            </w:pPr>
            <w:r>
              <w:rPr>
                <w:rFonts w:ascii="Times New Roman" w:hAnsi="Times New Roman" w:eastAsia="Times New Roman"/>
                <w:sz w:val="18"/>
              </w:rPr>
              <w:t xml:space="preserve">Distributed AI</w:t>
            </w:r>
          </w:p>
        </w:tc>
        <w:tc>
          <w:tcPr>
            <w:tcW w:type="dxa" w:w="2246"/>
            <w:shd w:fill="FFFFFF" w:val="clear"/>
          </w:tcPr>
          <w:p>
            <w:pPr>
              <w:pStyle w:val="Compact"/>
              <w:spacing w:after="60"/>
            </w:pPr>
            <w:r>
              <w:rPr>
                <w:rFonts w:ascii="Times New Roman" w:hAnsi="Times New Roman" w:eastAsia="Times New Roman"/>
                <w:sz w:val="18"/>
              </w:rPr>
              <w:t xml:space="preserve">Model; agent loop; multi-agent service; human-system ensemble</w:t>
            </w:r>
          </w:p>
        </w:tc>
        <w:tc>
          <w:tcPr>
            <w:tcW w:type="dxa" w:w="2527"/>
            <w:shd w:fill="FFFFFF" w:val="clear"/>
          </w:tcPr>
          <w:p>
            <w:pPr>
              <w:pStyle w:val="Compact"/>
              <w:spacing w:after="60"/>
            </w:pPr>
            <w:r>
              <w:rPr>
                <w:rFonts w:ascii="Times New Roman" w:hAnsi="Times New Roman" w:eastAsia="Times New Roman"/>
                <w:sz w:val="18"/>
              </w:rPr>
              <w:t xml:space="preserve">State reset, scheduler ablation, service delay, and human removal</w:t>
            </w:r>
          </w:p>
        </w:tc>
        <w:tc>
          <w:tcPr>
            <w:tcW w:type="dxa" w:w="3182"/>
            <w:shd w:fill="FFFFFF" w:val="clear"/>
          </w:tcPr>
          <w:p>
            <w:pPr>
              <w:pStyle w:val="Compact"/>
              <w:spacing w:after="60"/>
            </w:pPr>
            <w:r>
              <w:rPr>
                <w:rFonts w:ascii="Times New Roman" w:hAnsi="Times New Roman" w:eastAsia="Times New Roman"/>
                <w:sz w:val="18"/>
              </w:rPr>
              <w:t xml:space="preserve">Using product labels or API diagrams as causal boundaries.</w:t>
            </w:r>
          </w:p>
        </w:tc>
      </w:tr>
    </w:tbl>
    <w:bookmarkEnd w:id="81"/>
    <w:bookmarkStart w:id="84" w:name="X618dad82f9f9a8fac44a525a2d7d9f658791c97"/>
    <w:p>
      <w:pPr>
        <w:pStyle w:val="Heading2"/>
        <w:pageBreakBefore/>
      </w:pPr>
      <w:r>
        <w:t xml:space="preserve">Appendix E: Falsification and misuse guardrails</w:t>
      </w:r>
    </w:p>
    <w:bookmarkStart w:id="82" w:name="Xbaa42991fe9eeeff0fd9a0e962c8f8b957a429a"/>
    <w:p>
      <w:pPr>
        <w:pStyle w:val="Heading3"/>
      </w:pPr>
      <w:r>
        <w:t xml:space="preserve">Appendix E.1 Ways the boundary method can fail</w:t>
      </w:r>
    </w:p>
    <w:p>
      <w:pPr>
        <w:pStyle w:val="Compact"/>
        <w:numPr>
          <w:ilvl w:val="0"/>
          <w:numId w:val="1010"/>
        </w:numPr>
      </w:pPr>
      <w:r>
        <w:t xml:space="preserve">The autonomy ratio may be insensitive to known causal partitions.</w:t>
      </w:r>
    </w:p>
    <w:p>
      <w:pPr>
        <w:pStyle w:val="Compact"/>
        <w:numPr>
          <w:ilvl w:val="0"/>
          <w:numId w:val="1010"/>
        </w:numPr>
      </w:pPr>
      <w:r>
        <w:t xml:space="preserve">The candidate generator may omit the true causal unit.</w:t>
      </w:r>
    </w:p>
    <w:p>
      <w:pPr>
        <w:pStyle w:val="Compact"/>
        <w:numPr>
          <w:ilvl w:val="0"/>
          <w:numId w:val="1010"/>
        </w:numPr>
      </w:pPr>
      <w:r>
        <w:t xml:space="preserve">The intervention family may be too weak to distinguish common input from constitution.</w:t>
      </w:r>
    </w:p>
    <w:p>
      <w:pPr>
        <w:pStyle w:val="Compact"/>
        <w:numPr>
          <w:ilvl w:val="0"/>
          <w:numId w:val="1010"/>
        </w:numPr>
      </w:pPr>
      <w:r>
        <w:t xml:space="preserve">The replacement test may restore less than the disputed component’s generic support.</w:t>
      </w:r>
    </w:p>
    <w:p>
      <w:pPr>
        <w:pStyle w:val="Compact"/>
        <w:numPr>
          <w:ilvl w:val="0"/>
          <w:numId w:val="1010"/>
        </w:numPr>
      </w:pPr>
      <w:r>
        <w:t xml:space="preserve">Minimality may reward an overly coarse node that hides internal decomposition.</w:t>
      </w:r>
    </w:p>
    <w:p>
      <w:pPr>
        <w:pStyle w:val="Compact"/>
        <w:numPr>
          <w:ilvl w:val="0"/>
          <w:numId w:val="1010"/>
        </w:numPr>
      </w:pPr>
      <w:r>
        <w:t xml:space="preserve">Robustness may be artificial if all sensitivity analyses share the same misspecified model.</w:t>
      </w:r>
    </w:p>
    <w:p>
      <w:pPr>
        <w:pStyle w:val="Compact"/>
        <w:numPr>
          <w:ilvl w:val="0"/>
          <w:numId w:val="1010"/>
        </w:numPr>
      </w:pPr>
      <w:r>
        <w:t xml:space="preserve">Data splitting may be ineffective when candidate and role estimators share preprocessing leakage.</w:t>
      </w:r>
    </w:p>
    <w:bookmarkEnd w:id="82"/>
    <w:bookmarkStart w:id="83" w:name="appendix-e.2-prohibited-inferences"/>
    <w:p>
      <w:pPr>
        <w:pStyle w:val="Heading3"/>
      </w:pPr>
      <w:r>
        <w:t xml:space="preserve">Appendix E.2 Prohibited inferences</w:t>
      </w:r>
    </w:p>
    <w:tbl>
      <w:tblPr>
        <w:tblW w:type="pct" w:w="5000"/>
        <w:jc w:val="center"/>
        <w:tblLayout w:type="fixed"/>
        <w:tblLook w:firstRow="1" w:lastRow="0" w:firstColumn="0" w:lastColumn="0" w:noHBand="0" w:noVBand="0" w:val="0020"/>
      </w:tblPr>
      <w:tblGrid>
        <w:gridCol w:w="2059"/>
        <w:gridCol w:w="2772"/>
        <w:gridCol w:w="3088"/>
      </w:tblGrid>
      <w:tr>
        <w:trPr>
          <w:tblHeader w:val="on"/>
          <w:cantSplit/>
          <w:tblHeader w:val="true"/>
        </w:trPr>
        <w:tc>
          <w:tcPr>
            <w:tcW w:type="dxa" w:w="2434"/>
            <w:shd w:fill="1C2D40" w:val="clear"/>
          </w:tcPr>
          <w:p>
            <w:pPr>
              <w:pStyle w:val="Compact"/>
              <w:spacing w:after="60"/>
            </w:pPr>
            <w:r>
              <w:rPr>
                <w:rFonts w:ascii="Times New Roman" w:hAnsi="Times New Roman" w:eastAsia="Times New Roman"/>
                <w:b/>
                <w:color w:val="FFFFFF"/>
                <w:sz w:val="18"/>
              </w:rPr>
              <w:t xml:space="preserve">Misuse</w:t>
            </w:r>
          </w:p>
        </w:tc>
        <w:tc>
          <w:tcPr>
            <w:tcW w:type="dxa" w:w="3276"/>
            <w:shd w:fill="1C2D40" w:val="clear"/>
          </w:tcPr>
          <w:p>
            <w:pPr>
              <w:pStyle w:val="Compact"/>
              <w:spacing w:after="60"/>
            </w:pPr>
            <w:r>
              <w:rPr>
                <w:rFonts w:ascii="Times New Roman" w:hAnsi="Times New Roman" w:eastAsia="Times New Roman"/>
                <w:b/>
                <w:color w:val="FFFFFF"/>
                <w:sz w:val="18"/>
              </w:rPr>
              <w:t xml:space="preserve">Why invalid</w:t>
            </w:r>
          </w:p>
        </w:tc>
        <w:tc>
          <w:tcPr>
            <w:tcW w:type="dxa" w:w="3650"/>
            <w:shd w:fill="1C2D40" w:val="clear"/>
          </w:tcPr>
          <w:p>
            <w:pPr>
              <w:pStyle w:val="Compact"/>
              <w:spacing w:after="60"/>
            </w:pPr>
            <w:r>
              <w:rPr>
                <w:rFonts w:ascii="Times New Roman" w:hAnsi="Times New Roman" w:eastAsia="Times New Roman"/>
                <w:b/>
                <w:color w:val="FFFFFF"/>
                <w:sz w:val="18"/>
              </w:rPr>
              <w:t xml:space="preserve">Required correction</w:t>
            </w:r>
          </w:p>
        </w:tc>
      </w:tr>
      <w:tr>
        <w:trPr>
          <w:cantSplit/>
        </w:trPr>
        <w:tc>
          <w:tcPr>
            <w:tcW w:type="dxa" w:w="2434"/>
            <w:shd w:fill="FFFFFF" w:val="clear"/>
          </w:tcPr>
          <w:p>
            <w:pPr>
              <w:pStyle w:val="Compact"/>
              <w:spacing w:after="60"/>
            </w:pPr>
            <w:r>
              <w:rPr>
                <w:rFonts w:ascii="Times New Roman" w:hAnsi="Times New Roman" w:eastAsia="Times New Roman"/>
                <w:sz w:val="18"/>
              </w:rPr>
              <w:t xml:space="preserve">“The system is autonomous, therefore conscious.”</w:t>
            </w:r>
          </w:p>
        </w:tc>
        <w:tc>
          <w:tcPr>
            <w:tcW w:type="dxa" w:w="3276"/>
            <w:shd w:fill="FFFFFF" w:val="clear"/>
          </w:tcPr>
          <w:p>
            <w:pPr>
              <w:pStyle w:val="Compact"/>
              <w:spacing w:after="60"/>
            </w:pPr>
            <w:r>
              <w:rPr>
                <w:rFonts w:ascii="Times New Roman" w:hAnsi="Times New Roman" w:eastAsia="Times New Roman"/>
                <w:sz w:val="18"/>
              </w:rPr>
              <w:t xml:space="preserve">Autonomy is only an individuation condition.</w:t>
            </w:r>
          </w:p>
        </w:tc>
        <w:tc>
          <w:tcPr>
            <w:tcW w:type="dxa" w:w="3650"/>
            <w:shd w:fill="FFFFFF" w:val="clear"/>
          </w:tcPr>
          <w:p>
            <w:pPr>
              <w:pStyle w:val="Compact"/>
              <w:spacing w:after="60"/>
            </w:pPr>
            <w:r>
              <w:rPr>
                <w:rFonts w:ascii="Times New Roman" w:hAnsi="Times New Roman" w:eastAsia="Times New Roman"/>
                <w:sz w:val="18"/>
              </w:rPr>
              <w:t xml:space="preserve">Apply a separate consciousness theory and preserve negative or indeterminate outcomes.</w:t>
            </w:r>
          </w:p>
        </w:tc>
      </w:tr>
      <w:tr>
        <w:trPr>
          <w:cantSplit/>
        </w:trPr>
        <w:tc>
          <w:tcPr>
            <w:tcW w:type="dxa" w:w="2434"/>
            <w:shd w:fill="EAF1F6" w:val="clear"/>
          </w:tcPr>
          <w:p>
            <w:pPr>
              <w:pStyle w:val="Compact"/>
              <w:spacing w:after="60"/>
            </w:pPr>
            <w:r>
              <w:rPr>
                <w:rFonts w:ascii="Times New Roman" w:hAnsi="Times New Roman" w:eastAsia="Times New Roman"/>
                <w:sz w:val="18"/>
              </w:rPr>
              <w:t xml:space="preserve">“The highest consciousness score identifies the system.”</w:t>
            </w:r>
          </w:p>
        </w:tc>
        <w:tc>
          <w:tcPr>
            <w:tcW w:type="dxa" w:w="3276"/>
            <w:shd w:fill="EAF1F6" w:val="clear"/>
          </w:tcPr>
          <w:p>
            <w:pPr>
              <w:pStyle w:val="Compact"/>
              <w:spacing w:after="60"/>
            </w:pPr>
            <w:r>
              <w:rPr>
                <w:rFonts w:ascii="Times New Roman" w:hAnsi="Times New Roman" w:eastAsia="Times New Roman"/>
                <w:sz w:val="18"/>
              </w:rPr>
              <w:t xml:space="preserve">The evidence also selects its own target.</w:t>
            </w:r>
          </w:p>
        </w:tc>
        <w:tc>
          <w:tcPr>
            <w:tcW w:type="dxa" w:w="3650"/>
            <w:shd w:fill="EAF1F6" w:val="clear"/>
          </w:tcPr>
          <w:p>
            <w:pPr>
              <w:pStyle w:val="Compact"/>
              <w:spacing w:after="60"/>
            </w:pPr>
            <w:r>
              <w:rPr>
                <w:rFonts w:ascii="Times New Roman" w:hAnsi="Times New Roman" w:eastAsia="Times New Roman"/>
                <w:sz w:val="18"/>
              </w:rPr>
              <w:t xml:space="preserve">Generate and freeze candidates independently.</w:t>
            </w:r>
          </w:p>
        </w:tc>
      </w:tr>
      <w:tr>
        <w:trPr>
          <w:cantSplit/>
        </w:trPr>
        <w:tc>
          <w:tcPr>
            <w:tcW w:type="dxa" w:w="2434"/>
            <w:shd w:fill="FFFFFF" w:val="clear"/>
          </w:tcPr>
          <w:p>
            <w:pPr>
              <w:pStyle w:val="Compact"/>
              <w:spacing w:after="60"/>
            </w:pPr>
            <w:r>
              <w:rPr>
                <w:rFonts w:ascii="Times New Roman" w:hAnsi="Times New Roman" w:eastAsia="Times New Roman"/>
                <w:sz w:val="18"/>
              </w:rPr>
              <w:t xml:space="preserve">“The whole organism is necessary, therefore the whole organism is the subject.”</w:t>
            </w:r>
          </w:p>
        </w:tc>
        <w:tc>
          <w:tcPr>
            <w:tcW w:type="dxa" w:w="3276"/>
            <w:shd w:fill="FFFFFF" w:val="clear"/>
          </w:tcPr>
          <w:p>
            <w:pPr>
              <w:pStyle w:val="Compact"/>
              <w:spacing w:after="60"/>
            </w:pPr>
            <w:r>
              <w:rPr>
                <w:rFonts w:ascii="Times New Roman" w:hAnsi="Times New Roman" w:eastAsia="Times New Roman"/>
                <w:sz w:val="18"/>
              </w:rPr>
              <w:t xml:space="preserve">Remote dependence confuses support with constitution.</w:t>
            </w:r>
          </w:p>
        </w:tc>
        <w:tc>
          <w:tcPr>
            <w:tcW w:type="dxa" w:w="3650"/>
            <w:shd w:fill="FFFFFF" w:val="clear"/>
          </w:tcPr>
          <w:p>
            <w:pPr>
              <w:pStyle w:val="Compact"/>
              <w:spacing w:after="60"/>
            </w:pPr>
            <w:r>
              <w:rPr>
                <w:rFonts w:ascii="Times New Roman" w:hAnsi="Times New Roman" w:eastAsia="Times New Roman"/>
                <w:sz w:val="18"/>
              </w:rPr>
              <w:t xml:space="preserve">Use horizon-indexed replacement tests.</w:t>
            </w:r>
          </w:p>
        </w:tc>
      </w:tr>
      <w:tr>
        <w:trPr>
          <w:cantSplit/>
        </w:trPr>
        <w:tc>
          <w:tcPr>
            <w:tcW w:type="dxa" w:w="2434"/>
            <w:shd w:fill="EAF1F6" w:val="clear"/>
          </w:tcPr>
          <w:p>
            <w:pPr>
              <w:pStyle w:val="Compact"/>
              <w:spacing w:after="60"/>
            </w:pPr>
            <w:r>
              <w:rPr>
                <w:rFonts w:ascii="Times New Roman" w:hAnsi="Times New Roman" w:eastAsia="Times New Roman"/>
                <w:sz w:val="18"/>
              </w:rPr>
              <w:t xml:space="preserve">“A Markov blanket proves a subject boundary.”</w:t>
            </w:r>
          </w:p>
        </w:tc>
        <w:tc>
          <w:tcPr>
            <w:tcW w:type="dxa" w:w="3276"/>
            <w:shd w:fill="EAF1F6" w:val="clear"/>
          </w:tcPr>
          <w:p>
            <w:pPr>
              <w:pStyle w:val="Compact"/>
              <w:spacing w:after="60"/>
            </w:pPr>
            <w:r>
              <w:rPr>
                <w:rFonts w:ascii="Times New Roman" w:hAnsi="Times New Roman" w:eastAsia="Times New Roman"/>
                <w:sz w:val="18"/>
              </w:rPr>
              <w:t xml:space="preserve">Statistical separation is model-relative and common in nonconscious systems.</w:t>
            </w:r>
          </w:p>
        </w:tc>
        <w:tc>
          <w:tcPr>
            <w:tcW w:type="dxa" w:w="3650"/>
            <w:shd w:fill="EAF1F6" w:val="clear"/>
          </w:tcPr>
          <w:p>
            <w:pPr>
              <w:pStyle w:val="Compact"/>
              <w:spacing w:after="60"/>
            </w:pPr>
            <w:r>
              <w:rPr>
                <w:rFonts w:ascii="Times New Roman" w:hAnsi="Times New Roman" w:eastAsia="Times New Roman"/>
                <w:sz w:val="18"/>
              </w:rPr>
              <w:t xml:space="preserve">Test causal capacity, role completeness, and robustness.</w:t>
            </w:r>
          </w:p>
        </w:tc>
      </w:tr>
      <w:tr>
        <w:trPr>
          <w:cantSplit/>
        </w:trPr>
        <w:tc>
          <w:tcPr>
            <w:tcW w:type="dxa" w:w="2434"/>
            <w:shd w:fill="FFFFFF" w:val="clear"/>
          </w:tcPr>
          <w:p>
            <w:pPr>
              <w:pStyle w:val="Compact"/>
              <w:spacing w:after="60"/>
            </w:pPr>
            <w:r>
              <w:rPr>
                <w:rFonts w:ascii="Times New Roman" w:hAnsi="Times New Roman" w:eastAsia="Times New Roman"/>
                <w:sz w:val="18"/>
              </w:rPr>
              <w:t xml:space="preserve">“Two synchronized agents form one mind.”</w:t>
            </w:r>
          </w:p>
        </w:tc>
        <w:tc>
          <w:tcPr>
            <w:tcW w:type="dxa" w:w="3276"/>
            <w:shd w:fill="FFFFFF" w:val="clear"/>
          </w:tcPr>
          <w:p>
            <w:pPr>
              <w:pStyle w:val="Compact"/>
              <w:spacing w:after="60"/>
            </w:pPr>
            <w:r>
              <w:rPr>
                <w:rFonts w:ascii="Times New Roman" w:hAnsi="Times New Roman" w:eastAsia="Times New Roman"/>
                <w:sz w:val="18"/>
              </w:rPr>
              <w:t xml:space="preserve">Common input and communication can produce synchronization.</w:t>
            </w:r>
          </w:p>
        </w:tc>
        <w:tc>
          <w:tcPr>
            <w:tcW w:type="dxa" w:w="3650"/>
            <w:shd w:fill="FFFFFF" w:val="clear"/>
          </w:tcPr>
          <w:p>
            <w:pPr>
              <w:pStyle w:val="Compact"/>
              <w:spacing w:after="60"/>
            </w:pPr>
            <w:r>
              <w:rPr>
                <w:rFonts w:ascii="Times New Roman" w:hAnsi="Times New Roman" w:eastAsia="Times New Roman"/>
                <w:sz w:val="18"/>
              </w:rPr>
              <w:t xml:space="preserve">Demonstrate irreducible joint self-determination and loss of individual completeness.</w:t>
            </w:r>
          </w:p>
        </w:tc>
      </w:tr>
      <w:tr>
        <w:trPr>
          <w:cantSplit/>
        </w:trPr>
        <w:tc>
          <w:tcPr>
            <w:tcW w:type="dxa" w:w="2434"/>
            <w:shd w:fill="EAF1F6" w:val="clear"/>
          </w:tcPr>
          <w:p>
            <w:pPr>
              <w:pStyle w:val="Compact"/>
              <w:spacing w:after="60"/>
            </w:pPr>
            <w:r>
              <w:rPr>
                <w:rFonts w:ascii="Times New Roman" w:hAnsi="Times New Roman" w:eastAsia="Times New Roman"/>
                <w:sz w:val="18"/>
              </w:rPr>
              <w:t xml:space="preserve">“One unstable analysis selected a boundary, so the test can proceed.”</w:t>
            </w:r>
          </w:p>
        </w:tc>
        <w:tc>
          <w:tcPr>
            <w:tcW w:type="dxa" w:w="3276"/>
            <w:shd w:fill="EAF1F6" w:val="clear"/>
          </w:tcPr>
          <w:p>
            <w:pPr>
              <w:pStyle w:val="Compact"/>
              <w:spacing w:after="60"/>
            </w:pPr>
            <w:r>
              <w:rPr>
                <w:rFonts w:ascii="Times New Roman" w:hAnsi="Times New Roman" w:eastAsia="Times New Roman"/>
                <w:sz w:val="18"/>
              </w:rPr>
              <w:t xml:space="preserve">A system-level measure lacks a stable referent.</w:t>
            </w:r>
          </w:p>
        </w:tc>
        <w:tc>
          <w:tcPr>
            <w:tcW w:type="dxa" w:w="3650"/>
            <w:shd w:fill="EAF1F6" w:val="clear"/>
          </w:tcPr>
          <w:p>
            <w:pPr>
              <w:pStyle w:val="Compact"/>
              <w:spacing w:after="60"/>
            </w:pPr>
            <w:r>
              <w:rPr>
                <w:rFonts w:ascii="Times New Roman" w:hAnsi="Times New Roman" w:eastAsia="Times New Roman"/>
                <w:sz w:val="18"/>
              </w:rPr>
              <w:t xml:space="preserve">Return boundary-indeterminate or unlicensed.</w:t>
            </w:r>
          </w:p>
        </w:tc>
      </w:tr>
      <w:tr>
        <w:trPr>
          <w:cantSplit/>
        </w:trPr>
        <w:tc>
          <w:tcPr>
            <w:tcW w:type="dxa" w:w="2434"/>
            <w:shd w:fill="FFFFFF" w:val="clear"/>
          </w:tcPr>
          <w:p>
            <w:pPr>
              <w:pStyle w:val="Compact"/>
              <w:spacing w:after="60"/>
            </w:pPr>
            <w:r>
              <w:rPr>
                <w:rFonts w:ascii="Times New Roman" w:hAnsi="Times New Roman" w:eastAsia="Times New Roman"/>
                <w:sz w:val="18"/>
              </w:rPr>
              <w:t xml:space="preserve">“No qualifying candidate means no consciousness.”</w:t>
            </w:r>
          </w:p>
        </w:tc>
        <w:tc>
          <w:tcPr>
            <w:tcW w:type="dxa" w:w="3276"/>
            <w:shd w:fill="FFFFFF" w:val="clear"/>
          </w:tcPr>
          <w:p>
            <w:pPr>
              <w:pStyle w:val="Compact"/>
              <w:spacing w:after="60"/>
            </w:pPr>
            <w:r>
              <w:rPr>
                <w:rFonts w:ascii="Times New Roman" w:hAnsi="Times New Roman" w:eastAsia="Times New Roman"/>
                <w:sz w:val="18"/>
              </w:rPr>
              <w:t xml:space="preserve">Failure of individuation or role tests is not evidence of phenomenal absence by default.</w:t>
            </w:r>
          </w:p>
        </w:tc>
        <w:tc>
          <w:tcPr>
            <w:tcW w:type="dxa" w:w="3650"/>
            <w:shd w:fill="FFFFFF" w:val="clear"/>
          </w:tcPr>
          <w:p>
            <w:pPr>
              <w:pStyle w:val="Compact"/>
              <w:spacing w:after="60"/>
            </w:pPr>
            <w:r>
              <w:rPr>
                <w:rFonts w:ascii="Times New Roman" w:hAnsi="Times New Roman" w:eastAsia="Times New Roman"/>
                <w:sz w:val="18"/>
              </w:rPr>
              <w:t xml:space="preserve">Distinguish no candidate, negative evidence, and unlicensed inference.</w:t>
            </w:r>
          </w:p>
        </w:tc>
      </w:tr>
    </w:tbl>
    <w:bookmarkEnd w:id="83"/>
    <w:bookmarkEnd w:id="84"/>
    <w:bookmarkStart w:id="85" w:name="appendix-f-minimum-boundary-audit-record"/>
    <w:p>
      <w:pPr>
        <w:pStyle w:val="Heading2"/>
        <w:pageBreakBefore/>
      </w:pPr>
      <w:r>
        <w:t xml:space="preserve">Appendix F: Minimum boundary audit record</w:t>
      </w:r>
    </w:p>
    <w:p>
      <w:pPr>
        <w:pStyle w:val="FirstParagraph"/>
      </w:pPr>
      <w:r>
        <w:t xml:space="preserve">Every published system-level consciousness result should preserve:</w:t>
      </w:r>
    </w:p>
    <w:p>
      <w:pPr>
        <w:pStyle w:val="Compact"/>
        <w:numPr>
          <w:ilvl w:val="0"/>
          <w:numId w:val="1011"/>
        </w:numPr>
      </w:pPr>
      <w:r>
        <w:t xml:space="preserve">the exact node list or variable schema for</w:t>
      </w:r>
      <w:r>
        <w:t xml:space="preserve"> </w:t>
      </w:r>
      <m:oMath>
        <m:r>
          <m:rPr>
            <m:sty m:val="p"/>
          </m:rPr>
          <m:t>Ω</m:t>
        </m:r>
      </m:oMath>
      <w:r>
        <w:t xml:space="preserve">;</w:t>
      </w:r>
    </w:p>
    <w:p>
      <w:pPr>
        <w:pStyle w:val="Compact"/>
        <w:numPr>
          <w:ilvl w:val="0"/>
          <w:numId w:val="1011"/>
        </w:numPr>
      </w:pPr>
      <w:r>
        <w:t xml:space="preserve">the selected boundary or boundary family;</w:t>
      </w:r>
    </w:p>
    <w:p>
      <w:pPr>
        <w:pStyle w:val="Compact"/>
        <w:numPr>
          <w:ilvl w:val="0"/>
          <w:numId w:val="1011"/>
        </w:numPr>
      </w:pPr>
      <w:r>
        <w:t xml:space="preserve">the grain, horizon, regime, and intervention set;</w:t>
      </w:r>
    </w:p>
    <w:p>
      <w:pPr>
        <w:pStyle w:val="Compact"/>
        <w:numPr>
          <w:ilvl w:val="0"/>
          <w:numId w:val="1011"/>
        </w:numPr>
      </w:pPr>
      <w:r>
        <w:t xml:space="preserve">discovery and test data identifiers;</w:t>
      </w:r>
    </w:p>
    <w:p>
      <w:pPr>
        <w:pStyle w:val="Compact"/>
        <w:numPr>
          <w:ilvl w:val="0"/>
          <w:numId w:val="1011"/>
        </w:numPr>
      </w:pPr>
      <w:r>
        <w:t xml:space="preserve">causal-model assumptions and diagnostics;</w:t>
      </w:r>
    </w:p>
    <w:p>
      <w:pPr>
        <w:pStyle w:val="Compact"/>
        <w:numPr>
          <w:ilvl w:val="0"/>
          <w:numId w:val="1011"/>
        </w:numPr>
      </w:pPr>
      <m:oMath>
        <m:sSub>
          <m:e>
            <m:r>
              <m:t>J</m:t>
            </m:r>
          </m:e>
          <m:sub>
            <m:r>
              <m:rPr>
                <m:sty m:val="p"/>
              </m:rPr>
              <m:t>s</m:t>
            </m:r>
            <m:r>
              <m:rPr>
                <m:sty m:val="p"/>
              </m:rPr>
              <m:t>e</m:t>
            </m:r>
            <m:r>
              <m:rPr>
                <m:sty m:val="p"/>
              </m:rPr>
              <m:t>l</m:t>
            </m:r>
            <m:r>
              <m:rPr>
                <m:sty m:val="p"/>
              </m:rPr>
              <m:t>f</m:t>
            </m:r>
          </m:sub>
        </m:sSub>
        <m:r>
          <m:rPr>
            <m:sty m:val="p"/>
          </m:rPr>
          <m:t>,</m:t>
        </m:r>
        <m:sSub>
          <m:e>
            <m:r>
              <m:t>J</m:t>
            </m:r>
          </m:e>
          <m:sub>
            <m:r>
              <m:rPr>
                <m:sty m:val="p"/>
              </m:rPr>
              <m:t>i</m:t>
            </m:r>
            <m:r>
              <m:rPr>
                <m:sty m:val="p"/>
              </m:rPr>
              <m:t>n</m:t>
            </m:r>
          </m:sub>
        </m:sSub>
        <m:r>
          <m:rPr>
            <m:sty m:val="p"/>
          </m:rPr>
          <m:t>,</m:t>
        </m:r>
        <m:sSub>
          <m:e>
            <m:r>
              <m:t>A</m:t>
            </m:r>
          </m:e>
          <m:sub>
            <m:r>
              <m:rPr>
                <m:sty m:val="p"/>
              </m:rPr>
              <m:t>Θ</m:t>
            </m:r>
          </m:sub>
        </m:sSub>
      </m:oMath>
      <w:r>
        <w:t xml:space="preserve"> </w:t>
      </w:r>
      <w:r>
        <w:t xml:space="preserve">with uncertainty;</w:t>
      </w:r>
    </w:p>
    <w:p>
      <w:pPr>
        <w:pStyle w:val="Compact"/>
        <w:numPr>
          <w:ilvl w:val="0"/>
          <w:numId w:val="1011"/>
        </w:numPr>
      </w:pPr>
      <w:r>
        <w:t xml:space="preserve">role measures and surrogate-conflict outcomes for every frozen candidate;</w:t>
      </w:r>
    </w:p>
    <w:p>
      <w:pPr>
        <w:pStyle w:val="Compact"/>
        <w:numPr>
          <w:ilvl w:val="0"/>
          <w:numId w:val="1011"/>
        </w:numPr>
      </w:pPr>
      <w:r>
        <w:t xml:space="preserve">rejected candidates and reasons for rejection;</w:t>
      </w:r>
    </w:p>
    <w:p>
      <w:pPr>
        <w:pStyle w:val="Compact"/>
        <w:numPr>
          <w:ilvl w:val="0"/>
          <w:numId w:val="1011"/>
        </w:numPr>
      </w:pPr>
      <w:r>
        <w:t xml:space="preserve">replacement and separation test results;</w:t>
      </w:r>
    </w:p>
    <w:p>
      <w:pPr>
        <w:pStyle w:val="Compact"/>
        <w:numPr>
          <w:ilvl w:val="0"/>
          <w:numId w:val="1011"/>
        </w:numPr>
      </w:pPr>
      <w:r>
        <w:t xml:space="preserve">sensitivity results across</w:t>
      </w:r>
      <w:r>
        <w:t xml:space="preserve"> </w:t>
      </w:r>
      <m:oMath>
        <m:r>
          <m:rPr>
            <m:scr m:val="script"/>
            <m:sty m:val="p"/>
          </m:rPr>
          <m:t>N</m:t>
        </m:r>
        <m:r>
          <m:rPr>
            <m:sty m:val="p"/>
          </m:rPr>
          <m:t>(</m:t>
        </m:r>
        <m:r>
          <m:rPr>
            <m:sty m:val="p"/>
          </m:rPr>
          <m:t>Θ</m:t>
        </m:r>
        <m:r>
          <m:rPr>
            <m:sty m:val="p"/>
          </m:rPr>
          <m:t>)</m:t>
        </m:r>
      </m:oMath>
      <w:r>
        <w:t xml:space="preserve">;</w:t>
      </w:r>
    </w:p>
    <w:p>
      <w:pPr>
        <w:pStyle w:val="Compact"/>
        <w:numPr>
          <w:ilvl w:val="0"/>
          <w:numId w:val="1011"/>
        </w:numPr>
      </w:pPr>
      <w:r>
        <w:t xml:space="preserve">the final paired boundary and consciousness statuses;</w:t>
      </w:r>
    </w:p>
    <w:p>
      <w:pPr>
        <w:pStyle w:val="Compact"/>
        <w:numPr>
          <w:ilvl w:val="0"/>
          <w:numId w:val="1011"/>
        </w:numPr>
      </w:pPr>
      <w:r>
        <w:t xml:space="preserve">exploratory boundary changes, clearly separated from confirmatory results.</w:t>
      </w:r>
    </w:p>
    <w:bookmarkEnd w:id="85"/>
    <w:bookmarkStart w:id="88" w:name="appendix-g-synthetic-worked-examples"/>
    <w:p>
      <w:pPr>
        <w:pStyle w:val="Heading2"/>
        <w:pageBreakBefore/>
      </w:pPr>
      <w:r>
        <w:t xml:space="preserve">Appendix G: Synthetic worked examples</w:t>
      </w:r>
    </w:p>
    <w:p>
      <w:pPr>
        <w:pStyle w:val="FirstParagraph"/>
      </w:pPr>
      <w:r>
        <w:t xml:space="preserve">The values below are illustrative and do not represent empirical estimates. Their purpose is to show the order of operations and the kinds of conclusions the method permits.</w:t>
      </w:r>
    </w:p>
    <w:bookmarkStart w:id="86" w:name="appendix-g.1-a-disconnection-case"/>
    <w:p>
      <w:pPr>
        <w:pStyle w:val="Heading3"/>
      </w:pPr>
      <w:r>
        <w:t xml:space="preserve">Appendix G.1 A disconnection case</w:t>
      </w:r>
    </w:p>
    <w:p>
      <w:pPr>
        <w:pStyle w:val="FirstParagraph"/>
      </w:pPr>
      <w:r>
        <w:t xml:space="preserve">Let the modeled universe contain two recurrent modules and a shared coordinating hub. Candidate generation considers a left system</w:t>
      </w:r>
      <w:r>
        <w:t xml:space="preserve"> </w:t>
      </w:r>
      <m:oMath>
        <m:sSub>
          <m:e>
            <m:r>
              <m:t>S</m:t>
            </m:r>
          </m:e>
          <m:sub>
            <m:r>
              <m:t>L</m:t>
            </m:r>
          </m:sub>
        </m:sSub>
      </m:oMath>
      <w:r>
        <w:t xml:space="preserve">, a right system</w:t>
      </w:r>
      <w:r>
        <w:t xml:space="preserve"> </w:t>
      </w:r>
      <m:oMath>
        <m:sSub>
          <m:e>
            <m:r>
              <m:t>S</m:t>
            </m:r>
          </m:e>
          <m:sub>
            <m:r>
              <m:t>R</m:t>
            </m:r>
          </m:sub>
        </m:sSub>
      </m:oMath>
      <w:r>
        <w:t xml:space="preserve">, and their union</w:t>
      </w:r>
      <w:r>
        <w:t xml:space="preserve"> </w:t>
      </w:r>
      <m:oMath>
        <m:sSub>
          <m:e>
            <m:r>
              <m:t>S</m:t>
            </m:r>
          </m:e>
          <m:sub>
            <m:r>
              <m:t>W</m:t>
            </m:r>
          </m:sub>
        </m:sSub>
      </m:oMath>
      <w:r>
        <w:t xml:space="preserve">. The autonomy threshold is</w:t>
      </w:r>
      <w:r>
        <w:t xml:space="preserve"> </w:t>
      </w:r>
      <m:oMath>
        <m:r>
          <m:t>α</m:t>
        </m:r>
        <m:r>
          <m:rPr>
            <m:sty m:val="p"/>
          </m:rPr>
          <m:t>=</m:t>
        </m:r>
        <m:r>
          <m:t>.70</m:t>
        </m:r>
      </m:oMath>
      <w:r>
        <w:t xml:space="preserve">, the capacity threshold is</w:t>
      </w:r>
      <w:r>
        <w:t xml:space="preserve"> </w:t>
      </w:r>
      <m:oMath>
        <m:r>
          <m:t>σ</m:t>
        </m:r>
        <m:r>
          <m:rPr>
            <m:sty m:val="p"/>
          </m:rPr>
          <m:t>=</m:t>
        </m:r>
        <m:r>
          <m:t>.40</m:t>
        </m:r>
      </m:oMath>
      <w:r>
        <w:t xml:space="preserve">, and every normalized role score must exceed</w:t>
      </w:r>
      <w:r>
        <w:t xml:space="preserve"> </w:t>
      </w:r>
      <m:oMath>
        <m:r>
          <m:t>.65</m:t>
        </m:r>
      </m:oMath>
      <w:r>
        <w:t xml:space="preserve">.</w:t>
      </w:r>
    </w:p>
    <w:tbl>
      <w:tblPr>
        <w:tblW w:type="pct" w:w="5000"/>
        <w:jc w:val="center"/>
        <w:tblLayout w:type="fixed"/>
        <w:tblLook w:firstRow="1" w:lastRow="0" w:firstColumn="0" w:lastColumn="0" w:noHBand="0" w:noVBand="0" w:val="0020"/>
      </w:tblPr>
      <w:tblGrid>
        <w:gridCol w:w="1397"/>
        <w:gridCol w:w="1863"/>
        <w:gridCol w:w="1863"/>
        <w:gridCol w:w="1397"/>
        <w:gridCol w:w="1397"/>
      </w:tblGrid>
      <w:tr>
        <w:trPr>
          <w:tblHeader w:val="on"/>
          <w:cantSplit/>
          <w:tblHeader w:val="true"/>
        </w:trPr>
        <w:tc>
          <w:tcPr>
            <w:tcW w:type="dxa" w:w="1872"/>
            <w:shd w:fill="1C2D40" w:val="clear"/>
          </w:tcPr>
          <w:p>
            <w:pPr>
              <w:pStyle w:val="Compact"/>
              <w:spacing w:after="60"/>
            </w:pPr>
            <w:r>
              <w:rPr>
                <w:rFonts w:ascii="Times New Roman" w:hAnsi="Times New Roman" w:eastAsia="Times New Roman"/>
                <w:b/>
                <w:color w:val="FFFFFF"/>
                <w:sz w:val="18"/>
              </w:rPr>
              <w:t xml:space="preserve">Regime and candidate</w:t>
            </w:r>
          </w:p>
        </w:tc>
        <w:tc>
          <w:tcPr>
            <w:tcW w:type="dxa" w:w="842"/>
            <w:shd w:fill="1C2D40" w:val="clear"/>
          </w:tcPr>
          <w:p>
            <w:pPr>
              <w:pStyle w:val="Compact"/>
              <w:spacing w:after="60"/>
              <w:jc w:val="right"/>
            </w:pPr>
            <m:oMath>
              <m:sSub>
                <m:e>
                  <m:r>
                    <m:t>J</m:t>
                  </m:r>
                </m:e>
                <m:sub>
                  <m:r>
                    <m:rPr>
                      <m:sty m:val="p"/>
                    </m:rPr>
                    <m:t>s</m:t>
                  </m:r>
                  <m:r>
                    <m:rPr>
                      <m:sty m:val="p"/>
                    </m:rPr>
                    <m:t>e</m:t>
                  </m:r>
                  <m:r>
                    <m:rPr>
                      <m:sty m:val="p"/>
                    </m:rPr>
                    <m:t>l</m:t>
                  </m:r>
                  <m:r>
                    <m:rPr>
                      <m:sty m:val="p"/>
                    </m:rPr>
                    <m:t>f</m:t>
                  </m:r>
                </m:sub>
              </m:sSub>
            </m:oMath>
          </w:p>
        </w:tc>
        <w:tc>
          <w:tcPr>
            <w:tcW w:type="dxa" w:w="842"/>
            <w:shd w:fill="1C2D40" w:val="clear"/>
          </w:tcPr>
          <w:p>
            <w:pPr>
              <w:pStyle w:val="Compact"/>
              <w:spacing w:after="60"/>
              <w:jc w:val="right"/>
            </w:pPr>
            <m:oMath>
              <m:sSub>
                <m:e>
                  <m:r>
                    <m:t>A</m:t>
                  </m:r>
                </m:e>
                <m:sub>
                  <m:r>
                    <m:rPr>
                      <m:sty m:val="p"/>
                    </m:rPr>
                    <m:t>Θ</m:t>
                  </m:r>
                </m:sub>
              </m:sSub>
            </m:oMath>
          </w:p>
        </w:tc>
        <w:tc>
          <w:tcPr>
            <w:tcW w:type="dxa" w:w="2527"/>
            <w:shd w:fill="1C2D40" w:val="clear"/>
          </w:tcPr>
          <w:p>
            <w:pPr>
              <w:pStyle w:val="Compact"/>
              <w:spacing w:after="60"/>
            </w:pPr>
            <w:r>
              <w:rPr>
                <w:rFonts w:ascii="Times New Roman" w:hAnsi="Times New Roman" w:eastAsia="Times New Roman"/>
                <w:b/>
                <w:color w:val="FFFFFF"/>
                <w:sz w:val="18"/>
              </w:rPr>
              <w:t xml:space="preserve">Role profile</w:t>
            </w:r>
            <w:r>
              <w:rPr>
                <w:rFonts w:ascii="Times New Roman" w:hAnsi="Times New Roman" w:eastAsia="Times New Roman"/>
                <w:b/>
                <w:color w:val="FFFFFF"/>
                <w:sz w:val="18"/>
              </w:rPr>
              <w:t xml:space="preserve"> </w:t>
            </w:r>
            <m:oMath>
              <m:r>
                <m:rPr>
                  <m:sty m:val="p"/>
                </m:rPr>
                <m:t>(</m:t>
              </m:r>
              <m:sSub>
                <m:e>
                  <m:r>
                    <m:t>F</m:t>
                  </m:r>
                </m:e>
                <m:sub>
                  <m:r>
                    <m:t>I</m:t>
                  </m:r>
                </m:sub>
              </m:sSub>
              <m:r>
                <m:rPr>
                  <m:sty m:val="p"/>
                </m:rPr>
                <m:t>,</m:t>
              </m:r>
              <m:sSub>
                <m:e>
                  <m:r>
                    <m:t>F</m:t>
                  </m:r>
                </m:e>
                <m:sub>
                  <m:r>
                    <m:t>A</m:t>
                  </m:r>
                </m:sub>
              </m:sSub>
              <m:r>
                <m:rPr>
                  <m:sty m:val="p"/>
                </m:rPr>
                <m:t>,</m:t>
              </m:r>
              <m:sSub>
                <m:e>
                  <m:r>
                    <m:t>F</m:t>
                  </m:r>
                </m:e>
                <m:sub>
                  <m:r>
                    <m:t>R</m:t>
                  </m:r>
                </m:sub>
              </m:sSub>
              <m:r>
                <m:rPr>
                  <m:sty m:val="p"/>
                </m:rPr>
                <m:t>,</m:t>
              </m:r>
              <m:sSub>
                <m:e>
                  <m:r>
                    <m:t>F</m:t>
                  </m:r>
                </m:e>
                <m:sub>
                  <m:r>
                    <m:t>V</m:t>
                  </m:r>
                </m:sub>
              </m:sSub>
              <m:r>
                <m:rPr>
                  <m:sty m:val="p"/>
                </m:rPr>
                <m:t>)</m:t>
              </m:r>
            </m:oMath>
          </w:p>
        </w:tc>
        <w:tc>
          <w:tcPr>
            <w:tcW w:type="dxa" w:w="3276"/>
            <w:shd w:fill="1C2D40" w:val="clear"/>
          </w:tcPr>
          <w:p>
            <w:pPr>
              <w:pStyle w:val="Compact"/>
              <w:spacing w:after="60"/>
            </w:pPr>
            <w:r>
              <w:rPr>
                <w:rFonts w:ascii="Times New Roman" w:hAnsi="Times New Roman" w:eastAsia="Times New Roman"/>
                <w:b/>
                <w:color w:val="FFFFFF"/>
                <w:sz w:val="18"/>
              </w:rPr>
              <w:t xml:space="preserve">Boundary result</w:t>
            </w:r>
          </w:p>
        </w:tc>
      </w:tr>
      <w:tr>
        <w:trPr>
          <w:cantSplit/>
        </w:trPr>
        <w:tc>
          <w:tcPr>
            <w:tcW w:type="dxa" w:w="1872"/>
            <w:shd w:fill="FFFFFF" w:val="clear"/>
          </w:tcPr>
          <w:p>
            <w:pPr>
              <w:pStyle w:val="Compact"/>
              <w:spacing w:after="60"/>
            </w:pPr>
            <w:r>
              <w:rPr>
                <w:rFonts w:ascii="Times New Roman" w:hAnsi="Times New Roman" w:eastAsia="Times New Roman"/>
                <w:sz w:val="18"/>
              </w:rPr>
              <w:t xml:space="preserve">Coupled:</w:t>
            </w:r>
            <w:r>
              <w:rPr>
                <w:rFonts w:ascii="Times New Roman" w:hAnsi="Times New Roman" w:eastAsia="Times New Roman"/>
                <w:sz w:val="18"/>
              </w:rPr>
              <w:t xml:space="preserve"> </w:t>
            </w:r>
            <m:oMath>
              <m:sSub>
                <m:e>
                  <m:r>
                    <m:t>S</m:t>
                  </m:r>
                </m:e>
                <m:sub>
                  <m:r>
                    <m:t>L</m:t>
                  </m:r>
                </m:sub>
              </m:sSub>
            </m:oMath>
          </w:p>
        </w:tc>
        <w:tc>
          <w:tcPr>
            <w:tcW w:type="dxa" w:w="842"/>
            <w:shd w:fill="FFFFFF" w:val="clear"/>
          </w:tcPr>
          <w:p>
            <w:pPr>
              <w:pStyle w:val="Compact"/>
              <w:spacing w:after="60"/>
              <w:jc w:val="right"/>
            </w:pPr>
            <w:r>
              <w:rPr>
                <w:rFonts w:ascii="Times New Roman" w:hAnsi="Times New Roman" w:eastAsia="Times New Roman"/>
                <w:sz w:val="18"/>
              </w:rPr>
              <w:t xml:space="preserve">.46</w:t>
            </w:r>
          </w:p>
        </w:tc>
        <w:tc>
          <w:tcPr>
            <w:tcW w:type="dxa" w:w="842"/>
            <w:shd w:fill="FFFFFF" w:val="clear"/>
          </w:tcPr>
          <w:p>
            <w:pPr>
              <w:pStyle w:val="Compact"/>
              <w:spacing w:after="60"/>
              <w:jc w:val="right"/>
            </w:pPr>
            <w:r>
              <w:rPr>
                <w:rFonts w:ascii="Times New Roman" w:hAnsi="Times New Roman" w:eastAsia="Times New Roman"/>
                <w:sz w:val="18"/>
              </w:rPr>
              <w:t xml:space="preserve">.54</w:t>
            </w:r>
          </w:p>
        </w:tc>
        <w:tc>
          <w:tcPr>
            <w:tcW w:type="dxa" w:w="2527"/>
            <w:shd w:fill="FFFFFF" w:val="clear"/>
          </w:tcPr>
          <w:p>
            <w:pPr>
              <w:pStyle w:val="Compact"/>
              <w:spacing w:after="60"/>
            </w:pPr>
            <w:r>
              <w:rPr>
                <w:rFonts w:ascii="Times New Roman" w:hAnsi="Times New Roman" w:eastAsia="Times New Roman"/>
                <w:sz w:val="18"/>
              </w:rPr>
              <w:t xml:space="preserve">(.74, .43, .77, .85)</w:t>
            </w:r>
          </w:p>
        </w:tc>
        <w:tc>
          <w:tcPr>
            <w:tcW w:type="dxa" w:w="3276"/>
            <w:shd w:fill="FFFFFF" w:val="clear"/>
          </w:tcPr>
          <w:p>
            <w:pPr>
              <w:pStyle w:val="Compact"/>
              <w:spacing w:after="60"/>
            </w:pPr>
            <w:r>
              <w:rPr>
                <w:rFonts w:ascii="Times New Roman" w:hAnsi="Times New Roman" w:eastAsia="Times New Roman"/>
                <w:sz w:val="18"/>
              </w:rPr>
              <w:t xml:space="preserve">Rejected by autonomy and availability.</w:t>
            </w:r>
          </w:p>
        </w:tc>
      </w:tr>
      <w:tr>
        <w:trPr>
          <w:cantSplit/>
        </w:trPr>
        <w:tc>
          <w:tcPr>
            <w:tcW w:type="dxa" w:w="1872"/>
            <w:shd w:fill="EAF1F6" w:val="clear"/>
          </w:tcPr>
          <w:p>
            <w:pPr>
              <w:pStyle w:val="Compact"/>
              <w:spacing w:after="60"/>
            </w:pPr>
            <w:r>
              <w:rPr>
                <w:rFonts w:ascii="Times New Roman" w:hAnsi="Times New Roman" w:eastAsia="Times New Roman"/>
                <w:sz w:val="18"/>
              </w:rPr>
              <w:t xml:space="preserve">Coupled:</w:t>
            </w:r>
            <w:r>
              <w:rPr>
                <w:rFonts w:ascii="Times New Roman" w:hAnsi="Times New Roman" w:eastAsia="Times New Roman"/>
                <w:sz w:val="18"/>
              </w:rPr>
              <w:t xml:space="preserve"> </w:t>
            </w:r>
            <m:oMath>
              <m:sSub>
                <m:e>
                  <m:r>
                    <m:t>S</m:t>
                  </m:r>
                </m:e>
                <m:sub>
                  <m:r>
                    <m:t>R</m:t>
                  </m:r>
                </m:sub>
              </m:sSub>
            </m:oMath>
          </w:p>
        </w:tc>
        <w:tc>
          <w:tcPr>
            <w:tcW w:type="dxa" w:w="842"/>
            <w:shd w:fill="EAF1F6" w:val="clear"/>
          </w:tcPr>
          <w:p>
            <w:pPr>
              <w:pStyle w:val="Compact"/>
              <w:spacing w:after="60"/>
              <w:jc w:val="right"/>
            </w:pPr>
            <w:r>
              <w:rPr>
                <w:rFonts w:ascii="Times New Roman" w:hAnsi="Times New Roman" w:eastAsia="Times New Roman"/>
                <w:sz w:val="18"/>
              </w:rPr>
              <w:t xml:space="preserve">.44</w:t>
            </w:r>
          </w:p>
        </w:tc>
        <w:tc>
          <w:tcPr>
            <w:tcW w:type="dxa" w:w="842"/>
            <w:shd w:fill="EAF1F6" w:val="clear"/>
          </w:tcPr>
          <w:p>
            <w:pPr>
              <w:pStyle w:val="Compact"/>
              <w:spacing w:after="60"/>
              <w:jc w:val="right"/>
            </w:pPr>
            <w:r>
              <w:rPr>
                <w:rFonts w:ascii="Times New Roman" w:hAnsi="Times New Roman" w:eastAsia="Times New Roman"/>
                <w:sz w:val="18"/>
              </w:rPr>
              <w:t xml:space="preserve">.52</w:t>
            </w:r>
          </w:p>
        </w:tc>
        <w:tc>
          <w:tcPr>
            <w:tcW w:type="dxa" w:w="2527"/>
            <w:shd w:fill="EAF1F6" w:val="clear"/>
          </w:tcPr>
          <w:p>
            <w:pPr>
              <w:pStyle w:val="Compact"/>
              <w:spacing w:after="60"/>
            </w:pPr>
            <w:r>
              <w:rPr>
                <w:rFonts w:ascii="Times New Roman" w:hAnsi="Times New Roman" w:eastAsia="Times New Roman"/>
                <w:sz w:val="18"/>
              </w:rPr>
              <w:t xml:space="preserve">(.72, .41, .75, .84)</w:t>
            </w:r>
          </w:p>
        </w:tc>
        <w:tc>
          <w:tcPr>
            <w:tcW w:type="dxa" w:w="3276"/>
            <w:shd w:fill="EAF1F6" w:val="clear"/>
          </w:tcPr>
          <w:p>
            <w:pPr>
              <w:pStyle w:val="Compact"/>
              <w:spacing w:after="60"/>
            </w:pPr>
            <w:r>
              <w:rPr>
                <w:rFonts w:ascii="Times New Roman" w:hAnsi="Times New Roman" w:eastAsia="Times New Roman"/>
                <w:sz w:val="18"/>
              </w:rPr>
              <w:t xml:space="preserve">Rejected by autonomy and availability.</w:t>
            </w:r>
          </w:p>
        </w:tc>
      </w:tr>
      <w:tr>
        <w:trPr>
          <w:cantSplit/>
        </w:trPr>
        <w:tc>
          <w:tcPr>
            <w:tcW w:type="dxa" w:w="1872"/>
            <w:shd w:fill="FFFFFF" w:val="clear"/>
          </w:tcPr>
          <w:p>
            <w:pPr>
              <w:pStyle w:val="Compact"/>
              <w:spacing w:after="60"/>
            </w:pPr>
            <w:r>
              <w:rPr>
                <w:rFonts w:ascii="Times New Roman" w:hAnsi="Times New Roman" w:eastAsia="Times New Roman"/>
                <w:sz w:val="18"/>
              </w:rPr>
              <w:t xml:space="preserve">Coupled:</w:t>
            </w:r>
            <w:r>
              <w:rPr>
                <w:rFonts w:ascii="Times New Roman" w:hAnsi="Times New Roman" w:eastAsia="Times New Roman"/>
                <w:sz w:val="18"/>
              </w:rPr>
              <w:t xml:space="preserve"> </w:t>
            </w:r>
            <m:oMath>
              <m:sSub>
                <m:e>
                  <m:r>
                    <m:t>S</m:t>
                  </m:r>
                </m:e>
                <m:sub>
                  <m:r>
                    <m:t>W</m:t>
                  </m:r>
                </m:sub>
              </m:sSub>
            </m:oMath>
          </w:p>
        </w:tc>
        <w:tc>
          <w:tcPr>
            <w:tcW w:type="dxa" w:w="842"/>
            <w:shd w:fill="FFFFFF" w:val="clear"/>
          </w:tcPr>
          <w:p>
            <w:pPr>
              <w:pStyle w:val="Compact"/>
              <w:spacing w:after="60"/>
              <w:jc w:val="right"/>
            </w:pPr>
            <w:r>
              <w:rPr>
                <w:rFonts w:ascii="Times New Roman" w:hAnsi="Times New Roman" w:eastAsia="Times New Roman"/>
                <w:sz w:val="18"/>
              </w:rPr>
              <w:t xml:space="preserve">.78</w:t>
            </w:r>
          </w:p>
        </w:tc>
        <w:tc>
          <w:tcPr>
            <w:tcW w:type="dxa" w:w="842"/>
            <w:shd w:fill="FFFFFF" w:val="clear"/>
          </w:tcPr>
          <w:p>
            <w:pPr>
              <w:pStyle w:val="Compact"/>
              <w:spacing w:after="60"/>
              <w:jc w:val="right"/>
            </w:pPr>
            <w:r>
              <w:rPr>
                <w:rFonts w:ascii="Times New Roman" w:hAnsi="Times New Roman" w:eastAsia="Times New Roman"/>
                <w:sz w:val="18"/>
              </w:rPr>
              <w:t xml:space="preserve">.83</w:t>
            </w:r>
          </w:p>
        </w:tc>
        <w:tc>
          <w:tcPr>
            <w:tcW w:type="dxa" w:w="2527"/>
            <w:shd w:fill="FFFFFF" w:val="clear"/>
          </w:tcPr>
          <w:p>
            <w:pPr>
              <w:pStyle w:val="Compact"/>
              <w:spacing w:after="60"/>
            </w:pPr>
            <w:r>
              <w:rPr>
                <w:rFonts w:ascii="Times New Roman" w:hAnsi="Times New Roman" w:eastAsia="Times New Roman"/>
                <w:sz w:val="18"/>
              </w:rPr>
              <w:t xml:space="preserve">(.81, .79, .82, .88)</w:t>
            </w:r>
          </w:p>
        </w:tc>
        <w:tc>
          <w:tcPr>
            <w:tcW w:type="dxa" w:w="3276"/>
            <w:shd w:fill="FFFFFF" w:val="clear"/>
          </w:tcPr>
          <w:p>
            <w:pPr>
              <w:pStyle w:val="Compact"/>
              <w:spacing w:after="60"/>
            </w:pPr>
            <w:r>
              <w:rPr>
                <w:rFonts w:ascii="Times New Roman" w:hAnsi="Times New Roman" w:eastAsia="Times New Roman"/>
                <w:sz w:val="18"/>
              </w:rPr>
              <w:t xml:space="preserve">Unique inclusion-minimal candidate.</w:t>
            </w:r>
          </w:p>
        </w:tc>
      </w:tr>
      <w:tr>
        <w:trPr>
          <w:cantSplit/>
        </w:trPr>
        <w:tc>
          <w:tcPr>
            <w:tcW w:type="dxa" w:w="1872"/>
            <w:shd w:fill="EAF1F6" w:val="clear"/>
          </w:tcPr>
          <w:p>
            <w:pPr>
              <w:pStyle w:val="Compact"/>
              <w:spacing w:after="60"/>
            </w:pPr>
            <w:r>
              <w:rPr>
                <w:rFonts w:ascii="Times New Roman" w:hAnsi="Times New Roman" w:eastAsia="Times New Roman"/>
                <w:sz w:val="18"/>
              </w:rPr>
              <w:t xml:space="preserve">Disconnected:</w:t>
            </w:r>
            <w:r>
              <w:rPr>
                <w:rFonts w:ascii="Times New Roman" w:hAnsi="Times New Roman" w:eastAsia="Times New Roman"/>
                <w:sz w:val="18"/>
              </w:rPr>
              <w:t xml:space="preserve"> </w:t>
            </w:r>
            <m:oMath>
              <m:sSub>
                <m:e>
                  <m:r>
                    <m:t>S</m:t>
                  </m:r>
                </m:e>
                <m:sub>
                  <m:r>
                    <m:t>L</m:t>
                  </m:r>
                </m:sub>
              </m:sSub>
            </m:oMath>
          </w:p>
        </w:tc>
        <w:tc>
          <w:tcPr>
            <w:tcW w:type="dxa" w:w="842"/>
            <w:shd w:fill="EAF1F6" w:val="clear"/>
          </w:tcPr>
          <w:p>
            <w:pPr>
              <w:pStyle w:val="Compact"/>
              <w:spacing w:after="60"/>
              <w:jc w:val="right"/>
            </w:pPr>
            <w:r>
              <w:rPr>
                <w:rFonts w:ascii="Times New Roman" w:hAnsi="Times New Roman" w:eastAsia="Times New Roman"/>
                <w:sz w:val="18"/>
              </w:rPr>
              <w:t xml:space="preserve">.69</w:t>
            </w:r>
          </w:p>
        </w:tc>
        <w:tc>
          <w:tcPr>
            <w:tcW w:type="dxa" w:w="842"/>
            <w:shd w:fill="EAF1F6" w:val="clear"/>
          </w:tcPr>
          <w:p>
            <w:pPr>
              <w:pStyle w:val="Compact"/>
              <w:spacing w:after="60"/>
              <w:jc w:val="right"/>
            </w:pPr>
            <w:r>
              <w:rPr>
                <w:rFonts w:ascii="Times New Roman" w:hAnsi="Times New Roman" w:eastAsia="Times New Roman"/>
                <w:sz w:val="18"/>
              </w:rPr>
              <w:t xml:space="preserve">.78</w:t>
            </w:r>
          </w:p>
        </w:tc>
        <w:tc>
          <w:tcPr>
            <w:tcW w:type="dxa" w:w="2527"/>
            <w:shd w:fill="EAF1F6" w:val="clear"/>
          </w:tcPr>
          <w:p>
            <w:pPr>
              <w:pStyle w:val="Compact"/>
              <w:spacing w:after="60"/>
            </w:pPr>
            <w:r>
              <w:rPr>
                <w:rFonts w:ascii="Times New Roman" w:hAnsi="Times New Roman" w:eastAsia="Times New Roman"/>
                <w:sz w:val="18"/>
              </w:rPr>
              <w:t xml:space="preserve">(.76, .72, .79, .84)</w:t>
            </w:r>
          </w:p>
        </w:tc>
        <w:tc>
          <w:tcPr>
            <w:tcW w:type="dxa" w:w="3276"/>
            <w:shd w:fill="EAF1F6" w:val="clear"/>
          </w:tcPr>
          <w:p>
            <w:pPr>
              <w:pStyle w:val="Compact"/>
              <w:spacing w:after="60"/>
            </w:pPr>
            <w:r>
              <w:rPr>
                <w:rFonts w:ascii="Times New Roman" w:hAnsi="Times New Roman" w:eastAsia="Times New Roman"/>
                <w:sz w:val="18"/>
              </w:rPr>
              <w:t xml:space="preserve">Qualifying candidate.</w:t>
            </w:r>
          </w:p>
        </w:tc>
      </w:tr>
      <w:tr>
        <w:trPr>
          <w:cantSplit/>
        </w:trPr>
        <w:tc>
          <w:tcPr>
            <w:tcW w:type="dxa" w:w="1872"/>
            <w:shd w:fill="FFFFFF" w:val="clear"/>
          </w:tcPr>
          <w:p>
            <w:pPr>
              <w:pStyle w:val="Compact"/>
              <w:spacing w:after="60"/>
            </w:pPr>
            <w:r>
              <w:rPr>
                <w:rFonts w:ascii="Times New Roman" w:hAnsi="Times New Roman" w:eastAsia="Times New Roman"/>
                <w:sz w:val="18"/>
              </w:rPr>
              <w:t xml:space="preserve">Disconnected:</w:t>
            </w:r>
            <w:r>
              <w:rPr>
                <w:rFonts w:ascii="Times New Roman" w:hAnsi="Times New Roman" w:eastAsia="Times New Roman"/>
                <w:sz w:val="18"/>
              </w:rPr>
              <w:t xml:space="preserve"> </w:t>
            </w:r>
            <m:oMath>
              <m:sSub>
                <m:e>
                  <m:r>
                    <m:t>S</m:t>
                  </m:r>
                </m:e>
                <m:sub>
                  <m:r>
                    <m:t>R</m:t>
                  </m:r>
                </m:sub>
              </m:sSub>
            </m:oMath>
          </w:p>
        </w:tc>
        <w:tc>
          <w:tcPr>
            <w:tcW w:type="dxa" w:w="842"/>
            <w:shd w:fill="FFFFFF" w:val="clear"/>
          </w:tcPr>
          <w:p>
            <w:pPr>
              <w:pStyle w:val="Compact"/>
              <w:spacing w:after="60"/>
              <w:jc w:val="right"/>
            </w:pPr>
            <w:r>
              <w:rPr>
                <w:rFonts w:ascii="Times New Roman" w:hAnsi="Times New Roman" w:eastAsia="Times New Roman"/>
                <w:sz w:val="18"/>
              </w:rPr>
              <w:t xml:space="preserve">.67</w:t>
            </w:r>
          </w:p>
        </w:tc>
        <w:tc>
          <w:tcPr>
            <w:tcW w:type="dxa" w:w="842"/>
            <w:shd w:fill="FFFFFF" w:val="clear"/>
          </w:tcPr>
          <w:p>
            <w:pPr>
              <w:pStyle w:val="Compact"/>
              <w:spacing w:after="60"/>
              <w:jc w:val="right"/>
            </w:pPr>
            <w:r>
              <w:rPr>
                <w:rFonts w:ascii="Times New Roman" w:hAnsi="Times New Roman" w:eastAsia="Times New Roman"/>
                <w:sz w:val="18"/>
              </w:rPr>
              <w:t xml:space="preserve">.76</w:t>
            </w:r>
          </w:p>
        </w:tc>
        <w:tc>
          <w:tcPr>
            <w:tcW w:type="dxa" w:w="2527"/>
            <w:shd w:fill="FFFFFF" w:val="clear"/>
          </w:tcPr>
          <w:p>
            <w:pPr>
              <w:pStyle w:val="Compact"/>
              <w:spacing w:after="60"/>
            </w:pPr>
            <w:r>
              <w:rPr>
                <w:rFonts w:ascii="Times New Roman" w:hAnsi="Times New Roman" w:eastAsia="Times New Roman"/>
                <w:sz w:val="18"/>
              </w:rPr>
              <w:t xml:space="preserve">(.74, .70, .77, .83)</w:t>
            </w:r>
          </w:p>
        </w:tc>
        <w:tc>
          <w:tcPr>
            <w:tcW w:type="dxa" w:w="3276"/>
            <w:shd w:fill="FFFFFF" w:val="clear"/>
          </w:tcPr>
          <w:p>
            <w:pPr>
              <w:pStyle w:val="Compact"/>
              <w:spacing w:after="60"/>
            </w:pPr>
            <w:r>
              <w:rPr>
                <w:rFonts w:ascii="Times New Roman" w:hAnsi="Times New Roman" w:eastAsia="Times New Roman"/>
                <w:sz w:val="18"/>
              </w:rPr>
              <w:t xml:space="preserve">Qualifying candidate.</w:t>
            </w:r>
          </w:p>
        </w:tc>
      </w:tr>
      <w:tr>
        <w:trPr>
          <w:cantSplit/>
        </w:trPr>
        <w:tc>
          <w:tcPr>
            <w:tcW w:type="dxa" w:w="1872"/>
            <w:shd w:fill="EAF1F6" w:val="clear"/>
          </w:tcPr>
          <w:p>
            <w:pPr>
              <w:pStyle w:val="Compact"/>
              <w:spacing w:after="60"/>
            </w:pPr>
            <w:r>
              <w:rPr>
                <w:rFonts w:ascii="Times New Roman" w:hAnsi="Times New Roman" w:eastAsia="Times New Roman"/>
                <w:sz w:val="18"/>
              </w:rPr>
              <w:t xml:space="preserve">Disconnected:</w:t>
            </w:r>
            <w:r>
              <w:rPr>
                <w:rFonts w:ascii="Times New Roman" w:hAnsi="Times New Roman" w:eastAsia="Times New Roman"/>
                <w:sz w:val="18"/>
              </w:rPr>
              <w:t xml:space="preserve"> </w:t>
            </w:r>
            <m:oMath>
              <m:sSub>
                <m:e>
                  <m:r>
                    <m:t>S</m:t>
                  </m:r>
                </m:e>
                <m:sub>
                  <m:r>
                    <m:t>W</m:t>
                  </m:r>
                </m:sub>
              </m:sSub>
            </m:oMath>
          </w:p>
        </w:tc>
        <w:tc>
          <w:tcPr>
            <w:tcW w:type="dxa" w:w="842"/>
            <w:shd w:fill="EAF1F6" w:val="clear"/>
          </w:tcPr>
          <w:p>
            <w:pPr>
              <w:pStyle w:val="Compact"/>
              <w:spacing w:after="60"/>
              <w:jc w:val="right"/>
            </w:pPr>
            <w:r>
              <w:rPr>
                <w:rFonts w:ascii="Times New Roman" w:hAnsi="Times New Roman" w:eastAsia="Times New Roman"/>
                <w:sz w:val="18"/>
              </w:rPr>
              <w:t xml:space="preserve">.71</w:t>
            </w:r>
          </w:p>
        </w:tc>
        <w:tc>
          <w:tcPr>
            <w:tcW w:type="dxa" w:w="842"/>
            <w:shd w:fill="EAF1F6" w:val="clear"/>
          </w:tcPr>
          <w:p>
            <w:pPr>
              <w:pStyle w:val="Compact"/>
              <w:spacing w:after="60"/>
              <w:jc w:val="right"/>
            </w:pPr>
            <w:r>
              <w:rPr>
                <w:rFonts w:ascii="Times New Roman" w:hAnsi="Times New Roman" w:eastAsia="Times New Roman"/>
                <w:sz w:val="18"/>
              </w:rPr>
              <w:t xml:space="preserve">.59</w:t>
            </w:r>
          </w:p>
        </w:tc>
        <w:tc>
          <w:tcPr>
            <w:tcW w:type="dxa" w:w="2527"/>
            <w:shd w:fill="EAF1F6" w:val="clear"/>
          </w:tcPr>
          <w:p>
            <w:pPr>
              <w:pStyle w:val="Compact"/>
              <w:spacing w:after="60"/>
            </w:pPr>
            <w:r>
              <w:rPr>
                <w:rFonts w:ascii="Times New Roman" w:hAnsi="Times New Roman" w:eastAsia="Times New Roman"/>
                <w:sz w:val="18"/>
              </w:rPr>
              <w:t xml:space="preserve">(.58, .49, .61, .85)</w:t>
            </w:r>
          </w:p>
        </w:tc>
        <w:tc>
          <w:tcPr>
            <w:tcW w:type="dxa" w:w="3276"/>
            <w:shd w:fill="EAF1F6" w:val="clear"/>
          </w:tcPr>
          <w:p>
            <w:pPr>
              <w:pStyle w:val="Compact"/>
              <w:spacing w:after="60"/>
            </w:pPr>
            <w:r>
              <w:rPr>
                <w:rFonts w:ascii="Times New Roman" w:hAnsi="Times New Roman" w:eastAsia="Times New Roman"/>
                <w:sz w:val="18"/>
              </w:rPr>
              <w:t xml:space="preserve">Rejected by autonomy and role completeness.</w:t>
            </w:r>
          </w:p>
        </w:tc>
      </w:tr>
    </w:tbl>
    <w:p>
      <w:pPr>
        <w:pStyle w:val="BodyText"/>
      </w:pPr>
      <w:r>
        <w:t xml:space="preserve">Before disconnection, only the union is eligible and role-complete. After disconnection, the two modules separately qualify and the union does not. The method therefore changes from one candidate to two without using reports or consciousness labels to draw either boundary. A real split-brain study would additionally require uncertainty estimates, subcortical alternatives, cross-cueing controls, and sensitivity across tasks and horizons.</w:t>
      </w:r>
    </w:p>
    <w:bookmarkEnd w:id="86"/>
    <w:bookmarkStart w:id="87" w:name="Xf05aae332c3d6fb8d0e9d8887eebc217c64fbc5"/>
    <w:p>
      <w:pPr>
        <w:pStyle w:val="Heading3"/>
      </w:pPr>
      <w:r>
        <w:t xml:space="preserve">Appendix G.2 A hybrid organoid-controller case</w:t>
      </w:r>
    </w:p>
    <w:p>
      <w:pPr>
        <w:pStyle w:val="FirstParagraph"/>
      </w:pPr>
      <w:r>
        <w:t xml:space="preserve">Consider tissue</w:t>
      </w:r>
      <w:r>
        <w:t xml:space="preserve"> </w:t>
      </w:r>
      <m:oMath>
        <m:r>
          <m:t>O</m:t>
        </m:r>
      </m:oMath>
      <w:r>
        <w:t xml:space="preserve">, a digital controller</w:t>
      </w:r>
      <w:r>
        <w:t xml:space="preserve"> </w:t>
      </w:r>
      <m:oMath>
        <m:r>
          <m:t>C</m:t>
        </m:r>
      </m:oMath>
      <w:r>
        <w:t xml:space="preserve">, and a display environment</w:t>
      </w:r>
      <w:r>
        <w:t xml:space="preserve"> </w:t>
      </w:r>
      <m:oMath>
        <m:r>
          <m:t>E</m:t>
        </m:r>
      </m:oMath>
      <w:r>
        <w:t xml:space="preserve">. Candidate generation compares</w:t>
      </w:r>
      <w:r>
        <w:t xml:space="preserve"> </w:t>
      </w:r>
      <m:oMath>
        <m:sSub>
          <m:e>
            <m:r>
              <m:t>S</m:t>
            </m:r>
          </m:e>
          <m:sub>
            <m:r>
              <m:t>O</m:t>
            </m:r>
          </m:sub>
        </m:sSub>
        <m:r>
          <m:rPr>
            <m:sty m:val="p"/>
          </m:rPr>
          <m:t>=</m:t>
        </m:r>
        <m:r>
          <m:rPr>
            <m:sty m:val="p"/>
          </m:rPr>
          <m:t>{</m:t>
        </m:r>
        <m:r>
          <m:t>O</m:t>
        </m:r>
        <m:r>
          <m:rPr>
            <m:sty m:val="p"/>
          </m:rPr>
          <m:t>}</m:t>
        </m:r>
      </m:oMath>
      <w:r>
        <w:t xml:space="preserve"> </w:t>
      </w:r>
      <w:r>
        <w:t xml:space="preserve">and</w:t>
      </w:r>
      <w:r>
        <w:t xml:space="preserve"> </w:t>
      </w:r>
      <m:oMath>
        <m:sSub>
          <m:e>
            <m:r>
              <m:t>S</m:t>
            </m:r>
          </m:e>
          <m:sub>
            <m:r>
              <m:t>O</m:t>
            </m:r>
            <m:r>
              <m:t>C</m:t>
            </m:r>
          </m:sub>
        </m:sSub>
        <m:r>
          <m:rPr>
            <m:sty m:val="p"/>
          </m:rPr>
          <m:t>=</m:t>
        </m:r>
        <m:r>
          <m:rPr>
            <m:sty m:val="p"/>
          </m:rPr>
          <m:t>{</m:t>
        </m:r>
        <m:r>
          <m:t>O</m:t>
        </m:r>
        <m:r>
          <m:rPr>
            <m:sty m:val="p"/>
          </m:rPr>
          <m:t>,</m:t>
        </m:r>
        <m:r>
          <m:t>C</m:t>
        </m:r>
        <m:r>
          <m:rPr>
            <m:sty m:val="p"/>
          </m:rPr>
          <m:t>}</m:t>
        </m:r>
      </m:oMath>
      <w:r>
        <w:t xml:space="preserve">. Suppose the controller stores prior states and transforms tissue output into temporally structured stimulation.</w:t>
      </w:r>
    </w:p>
    <w:tbl>
      <w:tblPr>
        <w:tblW w:type="pct" w:w="5000"/>
        <w:jc w:val="center"/>
        <w:tblLayout w:type="fixed"/>
        <w:tblLook w:firstRow="1" w:lastRow="0" w:firstColumn="0" w:lastColumn="0" w:noHBand="0" w:noVBand="0" w:val="0020"/>
      </w:tblPr>
      <w:tblGrid>
        <w:gridCol w:w="1900"/>
        <w:gridCol w:w="2534"/>
        <w:gridCol w:w="3484"/>
      </w:tblGrid>
      <w:tr>
        <w:trPr>
          <w:tblHeader w:val="on"/>
          <w:cantSplit/>
          <w:tblHeader w:val="true"/>
        </w:trPr>
        <w:tc>
          <w:tcPr>
            <w:tcW w:type="dxa" w:w="2246"/>
            <w:shd w:fill="1C2D40" w:val="clear"/>
          </w:tcPr>
          <w:p>
            <w:pPr>
              <w:pStyle w:val="Compact"/>
              <w:spacing w:after="60"/>
            </w:pPr>
            <w:r>
              <w:rPr>
                <w:rFonts w:ascii="Times New Roman" w:hAnsi="Times New Roman" w:eastAsia="Times New Roman"/>
                <w:b/>
                <w:color w:val="FFFFFF"/>
                <w:sz w:val="18"/>
              </w:rPr>
              <w:t xml:space="preserve">Candidate or test</w:t>
            </w:r>
          </w:p>
        </w:tc>
        <w:tc>
          <w:tcPr>
            <w:tcW w:type="dxa" w:w="2995"/>
            <w:shd w:fill="1C2D40" w:val="clear"/>
          </w:tcPr>
          <w:p>
            <w:pPr>
              <w:pStyle w:val="Compact"/>
              <w:spacing w:after="60"/>
            </w:pPr>
            <w:r>
              <w:rPr>
                <w:rFonts w:ascii="Times New Roman" w:hAnsi="Times New Roman" w:eastAsia="Times New Roman"/>
                <w:b/>
                <w:color w:val="FFFFFF"/>
                <w:sz w:val="18"/>
              </w:rPr>
              <w:t xml:space="preserve">Autonomy/role result</w:t>
            </w:r>
          </w:p>
        </w:tc>
        <w:tc>
          <w:tcPr>
            <w:tcW w:type="dxa" w:w="4118"/>
            <w:shd w:fill="1C2D40" w:val="clear"/>
          </w:tcPr>
          <w:p>
            <w:pPr>
              <w:pStyle w:val="Compact"/>
              <w:spacing w:after="60"/>
            </w:pPr>
            <w:r>
              <w:rPr>
                <w:rFonts w:ascii="Times New Roman" w:hAnsi="Times New Roman" w:eastAsia="Times New Roman"/>
                <w:b/>
                <w:color w:val="FFFFFF"/>
                <w:sz w:val="18"/>
              </w:rPr>
              <w:t xml:space="preserve">Interpretation</w:t>
            </w:r>
          </w:p>
        </w:tc>
      </w:tr>
      <w:tr>
        <w:trPr>
          <w:cantSplit/>
        </w:trPr>
        <w:tc>
          <w:tcPr>
            <w:tcW w:type="dxa" w:w="2246"/>
            <w:shd w:fill="FFFFFF" w:val="clear"/>
          </w:tcPr>
          <w:p>
            <w:pPr>
              <w:pStyle w:val="Compact"/>
              <w:spacing w:after="60"/>
            </w:pPr>
            <w:r>
              <w:rPr>
                <w:rFonts w:ascii="Times New Roman" w:hAnsi="Times New Roman" w:eastAsia="Times New Roman"/>
                <w:sz w:val="18"/>
              </w:rPr>
              <w:t xml:space="preserve">Tissue</w:t>
            </w:r>
            <w:r>
              <w:rPr>
                <w:rFonts w:ascii="Times New Roman" w:hAnsi="Times New Roman" w:eastAsia="Times New Roman"/>
                <w:sz w:val="18"/>
              </w:rPr>
              <w:t xml:space="preserve"> </w:t>
            </w:r>
            <m:oMath>
              <m:sSub>
                <m:e>
                  <m:r>
                    <m:t>S</m:t>
                  </m:r>
                </m:e>
                <m:sub>
                  <m:r>
                    <m:t>O</m:t>
                  </m:r>
                </m:sub>
              </m:sSub>
            </m:oMath>
          </w:p>
        </w:tc>
        <w:tc>
          <w:tcPr>
            <w:tcW w:type="dxa" w:w="2995"/>
            <w:shd w:fill="FFFFFF" w:val="clear"/>
          </w:tcPr>
          <w:p>
            <w:pPr>
              <w:pStyle w:val="Compact"/>
              <w:spacing w:after="60"/>
            </w:pPr>
            <m:oMath>
              <m:sSub>
                <m:e>
                  <m:r>
                    <m:t>A</m:t>
                  </m:r>
                </m:e>
                <m:sub>
                  <m:r>
                    <m:rPr>
                      <m:sty m:val="p"/>
                    </m:rPr>
                    <m:t>Θ</m:t>
                  </m:r>
                </m:sub>
              </m:sSub>
              <m:r>
                <m:rPr>
                  <m:sty m:val="p"/>
                </m:rPr>
                <m:t>=</m:t>
              </m:r>
              <m:r>
                <m:t>.63</m:t>
              </m:r>
            </m:oMath>
            <w:r>
              <w:rPr>
                <w:rFonts w:ascii="Times New Roman" w:hAnsi="Times New Roman" w:eastAsia="Times New Roman"/>
                <w:sz w:val="18"/>
              </w:rPr>
              <w:t xml:space="preserve">; availability and recurrence below threshold</w:t>
            </w:r>
          </w:p>
        </w:tc>
        <w:tc>
          <w:tcPr>
            <w:tcW w:type="dxa" w:w="4118"/>
            <w:shd w:fill="FFFFFF" w:val="clear"/>
          </w:tcPr>
          <w:p>
            <w:pPr>
              <w:pStyle w:val="Compact"/>
              <w:spacing w:after="60"/>
            </w:pPr>
            <w:r>
              <w:rPr>
                <w:rFonts w:ascii="Times New Roman" w:hAnsi="Times New Roman" w:eastAsia="Times New Roman"/>
                <w:sz w:val="18"/>
              </w:rPr>
              <w:t xml:space="preserve">The tissue alone is not role-complete under this regime.</w:t>
            </w:r>
          </w:p>
        </w:tc>
      </w:tr>
      <w:tr>
        <w:trPr>
          <w:cantSplit/>
        </w:trPr>
        <w:tc>
          <w:tcPr>
            <w:tcW w:type="dxa" w:w="2246"/>
            <w:shd w:fill="EAF1F6" w:val="clear"/>
          </w:tcPr>
          <w:p>
            <w:pPr>
              <w:pStyle w:val="Compact"/>
              <w:spacing w:after="60"/>
            </w:pPr>
            <w:r>
              <w:rPr>
                <w:rFonts w:ascii="Times New Roman" w:hAnsi="Times New Roman" w:eastAsia="Times New Roman"/>
                <w:sz w:val="18"/>
              </w:rPr>
              <w:t xml:space="preserve">Hybrid</w:t>
            </w:r>
            <w:r>
              <w:rPr>
                <w:rFonts w:ascii="Times New Roman" w:hAnsi="Times New Roman" w:eastAsia="Times New Roman"/>
                <w:sz w:val="18"/>
              </w:rPr>
              <w:t xml:space="preserve"> </w:t>
            </w:r>
            <m:oMath>
              <m:sSub>
                <m:e>
                  <m:r>
                    <m:t>S</m:t>
                  </m:r>
                </m:e>
                <m:sub>
                  <m:r>
                    <m:t>O</m:t>
                  </m:r>
                  <m:r>
                    <m:t>C</m:t>
                  </m:r>
                </m:sub>
              </m:sSub>
            </m:oMath>
          </w:p>
        </w:tc>
        <w:tc>
          <w:tcPr>
            <w:tcW w:type="dxa" w:w="2995"/>
            <w:shd w:fill="EAF1F6" w:val="clear"/>
          </w:tcPr>
          <w:p>
            <w:pPr>
              <w:pStyle w:val="Compact"/>
              <w:spacing w:after="60"/>
            </w:pPr>
            <m:oMath>
              <m:sSub>
                <m:e>
                  <m:r>
                    <m:t>A</m:t>
                  </m:r>
                </m:e>
                <m:sub>
                  <m:r>
                    <m:rPr>
                      <m:sty m:val="p"/>
                    </m:rPr>
                    <m:t>Θ</m:t>
                  </m:r>
                </m:sub>
              </m:sSub>
              <m:r>
                <m:rPr>
                  <m:sty m:val="p"/>
                </m:rPr>
                <m:t>=</m:t>
              </m:r>
              <m:r>
                <m:t>.76</m:t>
              </m:r>
            </m:oMath>
            <w:r>
              <w:rPr>
                <w:rFonts w:ascii="Times New Roman" w:hAnsi="Times New Roman" w:eastAsia="Times New Roman"/>
                <w:sz w:val="18"/>
              </w:rPr>
              <w:t xml:space="preserve">; all four role scores above threshold</w:t>
            </w:r>
          </w:p>
        </w:tc>
        <w:tc>
          <w:tcPr>
            <w:tcW w:type="dxa" w:w="4118"/>
            <w:shd w:fill="EAF1F6" w:val="clear"/>
          </w:tcPr>
          <w:p>
            <w:pPr>
              <w:pStyle w:val="Compact"/>
              <w:spacing w:after="60"/>
            </w:pPr>
            <w:r>
              <w:rPr>
                <w:rFonts w:ascii="Times New Roman" w:hAnsi="Times New Roman" w:eastAsia="Times New Roman"/>
                <w:sz w:val="18"/>
              </w:rPr>
              <w:t xml:space="preserve">The hybrid is a candidate, pending robustness and minimality.</w:t>
            </w:r>
          </w:p>
        </w:tc>
      </w:tr>
      <w:tr>
        <w:trPr>
          <w:cantSplit/>
        </w:trPr>
        <w:tc>
          <w:tcPr>
            <w:tcW w:type="dxa" w:w="2246"/>
            <w:shd w:fill="FFFFFF" w:val="clear"/>
          </w:tcPr>
          <w:p>
            <w:pPr>
              <w:pStyle w:val="Compact"/>
              <w:spacing w:after="60"/>
            </w:pPr>
            <w:r>
              <w:rPr>
                <w:rFonts w:ascii="Times New Roman" w:hAnsi="Times New Roman" w:eastAsia="Times New Roman"/>
                <w:sz w:val="18"/>
              </w:rPr>
              <w:t xml:space="preserve">Replace</w:t>
            </w:r>
            <w:r>
              <w:rPr>
                <w:rFonts w:ascii="Times New Roman" w:hAnsi="Times New Roman" w:eastAsia="Times New Roman"/>
                <w:sz w:val="18"/>
              </w:rPr>
              <w:t xml:space="preserve"> </w:t>
            </w:r>
            <m:oMath>
              <m:r>
                <m:t>C</m:t>
              </m:r>
            </m:oMath>
            <w:r>
              <w:rPr>
                <w:rFonts w:ascii="Times New Roman" w:hAnsi="Times New Roman" w:eastAsia="Times New Roman"/>
                <w:sz w:val="18"/>
              </w:rPr>
              <w:t xml:space="preserve"> </w:t>
            </w:r>
            <w:r>
              <w:rPr>
                <w:rFonts w:ascii="Times New Roman" w:hAnsi="Times New Roman" w:eastAsia="Times New Roman"/>
                <w:sz w:val="18"/>
              </w:rPr>
              <w:t xml:space="preserve">with constant stimulation</w:t>
            </w:r>
          </w:p>
        </w:tc>
        <w:tc>
          <w:tcPr>
            <w:tcW w:type="dxa" w:w="2995"/>
            <w:shd w:fill="FFFFFF" w:val="clear"/>
          </w:tcPr>
          <w:p>
            <w:pPr>
              <w:pStyle w:val="Compact"/>
              <w:spacing w:after="60"/>
            </w:pPr>
            <w:r>
              <w:rPr>
                <w:rFonts w:ascii="Times New Roman" w:hAnsi="Times New Roman" w:eastAsia="Times New Roman"/>
                <w:sz w:val="18"/>
              </w:rPr>
              <w:t xml:space="preserve">Recurrence and availability remain below threshold</w:t>
            </w:r>
          </w:p>
        </w:tc>
        <w:tc>
          <w:tcPr>
            <w:tcW w:type="dxa" w:w="4118"/>
            <w:shd w:fill="FFFFFF" w:val="clear"/>
          </w:tcPr>
          <w:p>
            <w:pPr>
              <w:pStyle w:val="Compact"/>
              <w:spacing w:after="60"/>
            </w:pPr>
            <w:r>
              <w:rPr>
                <w:rFonts w:ascii="Times New Roman" w:hAnsi="Times New Roman" w:eastAsia="Times New Roman"/>
                <w:sz w:val="18"/>
              </w:rPr>
              <w:t xml:space="preserve">Generic input does not restore the controller’s specific dynamics.</w:t>
            </w:r>
          </w:p>
        </w:tc>
      </w:tr>
      <w:tr>
        <w:trPr>
          <w:cantSplit/>
        </w:trPr>
        <w:tc>
          <w:tcPr>
            <w:tcW w:type="dxa" w:w="2246"/>
            <w:shd w:fill="EAF1F6" w:val="clear"/>
          </w:tcPr>
          <w:p>
            <w:pPr>
              <w:pStyle w:val="Compact"/>
              <w:spacing w:after="60"/>
            </w:pPr>
            <w:r>
              <w:rPr>
                <w:rFonts w:ascii="Times New Roman" w:hAnsi="Times New Roman" w:eastAsia="Times New Roman"/>
                <w:sz w:val="18"/>
              </w:rPr>
              <w:t xml:space="preserve">Replace</w:t>
            </w:r>
            <w:r>
              <w:rPr>
                <w:rFonts w:ascii="Times New Roman" w:hAnsi="Times New Roman" w:eastAsia="Times New Roman"/>
                <w:sz w:val="18"/>
              </w:rPr>
              <w:t xml:space="preserve"> </w:t>
            </w:r>
            <m:oMath>
              <m:r>
                <m:t>C</m:t>
              </m:r>
            </m:oMath>
            <w:r>
              <w:rPr>
                <w:rFonts w:ascii="Times New Roman" w:hAnsi="Times New Roman" w:eastAsia="Times New Roman"/>
                <w:sz w:val="18"/>
              </w:rPr>
              <w:t xml:space="preserve"> </w:t>
            </w:r>
            <w:r>
              <w:rPr>
                <w:rFonts w:ascii="Times New Roman" w:hAnsi="Times New Roman" w:eastAsia="Times New Roman"/>
                <w:sz w:val="18"/>
              </w:rPr>
              <w:t xml:space="preserve">with a matched recurrent controller</w:t>
            </w:r>
          </w:p>
        </w:tc>
        <w:tc>
          <w:tcPr>
            <w:tcW w:type="dxa" w:w="2995"/>
            <w:shd w:fill="EAF1F6" w:val="clear"/>
          </w:tcPr>
          <w:p>
            <w:pPr>
              <w:pStyle w:val="Compact"/>
              <w:spacing w:after="60"/>
            </w:pPr>
            <w:r>
              <w:rPr>
                <w:rFonts w:ascii="Times New Roman" w:hAnsi="Times New Roman" w:eastAsia="Times New Roman"/>
                <w:sz w:val="18"/>
              </w:rPr>
              <w:t xml:space="preserve">Role profile recovers within tolerance</w:t>
            </w:r>
          </w:p>
        </w:tc>
        <w:tc>
          <w:tcPr>
            <w:tcW w:type="dxa" w:w="4118"/>
            <w:shd w:fill="EAF1F6" w:val="clear"/>
          </w:tcPr>
          <w:p>
            <w:pPr>
              <w:pStyle w:val="Compact"/>
              <w:spacing w:after="60"/>
            </w:pPr>
            <w:r>
              <w:rPr>
                <w:rFonts w:ascii="Times New Roman" w:hAnsi="Times New Roman" w:eastAsia="Times New Roman"/>
                <w:sz w:val="18"/>
              </w:rPr>
              <w:t xml:space="preserve">The relevant controller role, rather than one physical device, is constitutive.</w:t>
            </w:r>
          </w:p>
        </w:tc>
      </w:tr>
      <w:tr>
        <w:trPr>
          <w:cantSplit/>
        </w:trPr>
        <w:tc>
          <w:tcPr>
            <w:tcW w:type="dxa" w:w="2246"/>
            <w:shd w:fill="FFFFFF" w:val="clear"/>
          </w:tcPr>
          <w:p>
            <w:pPr>
              <w:pStyle w:val="Compact"/>
              <w:spacing w:after="60"/>
            </w:pPr>
            <w:r>
              <w:rPr>
                <w:rFonts w:ascii="Times New Roman" w:hAnsi="Times New Roman" w:eastAsia="Times New Roman"/>
                <w:sz w:val="18"/>
              </w:rPr>
              <w:t xml:space="preserve">Add display</w:t>
            </w:r>
            <w:r>
              <w:rPr>
                <w:rFonts w:ascii="Times New Roman" w:hAnsi="Times New Roman" w:eastAsia="Times New Roman"/>
                <w:sz w:val="18"/>
              </w:rPr>
              <w:t xml:space="preserve"> </w:t>
            </w:r>
            <m:oMath>
              <m:r>
                <m:t>E</m:t>
              </m:r>
            </m:oMath>
            <w:r>
              <w:rPr>
                <w:rFonts w:ascii="Times New Roman" w:hAnsi="Times New Roman" w:eastAsia="Times New Roman"/>
                <w:sz w:val="18"/>
              </w:rPr>
              <w:t xml:space="preserve"> </w:t>
            </w:r>
            <w:r>
              <w:rPr>
                <w:rFonts w:ascii="Times New Roman" w:hAnsi="Times New Roman" w:eastAsia="Times New Roman"/>
                <w:sz w:val="18"/>
              </w:rPr>
              <w:t xml:space="preserve">to the boundary</w:t>
            </w:r>
          </w:p>
        </w:tc>
        <w:tc>
          <w:tcPr>
            <w:tcW w:type="dxa" w:w="2995"/>
            <w:shd w:fill="FFFFFF" w:val="clear"/>
          </w:tcPr>
          <w:p>
            <w:pPr>
              <w:pStyle w:val="Compact"/>
              <w:spacing w:after="60"/>
            </w:pPr>
            <w:r>
              <w:rPr>
                <w:rFonts w:ascii="Times New Roman" w:hAnsi="Times New Roman" w:eastAsia="Times New Roman"/>
                <w:sz w:val="18"/>
              </w:rPr>
              <w:t xml:space="preserve">No increase in held-out autonomy or role completeness</w:t>
            </w:r>
          </w:p>
        </w:tc>
        <w:tc>
          <w:tcPr>
            <w:tcW w:type="dxa" w:w="4118"/>
            <w:shd w:fill="FFFFFF" w:val="clear"/>
          </w:tcPr>
          <w:p>
            <w:pPr>
              <w:pStyle w:val="Compact"/>
              <w:spacing w:after="60"/>
            </w:pPr>
            <w:r>
              <w:rPr>
                <w:rFonts w:ascii="Times New Roman" w:hAnsi="Times New Roman" w:eastAsia="Times New Roman"/>
                <w:sz w:val="18"/>
              </w:rPr>
              <w:t xml:space="preserve">The display remains an environmental interface.</w:t>
            </w:r>
          </w:p>
        </w:tc>
      </w:tr>
    </w:tbl>
    <w:p>
      <w:pPr>
        <w:pStyle w:val="BodyText"/>
      </w:pPr>
      <w:r>
        <w:t xml:space="preserve">The example shows why physical attachment, causal relevance, and constitution are different. The display affects the loop but need not belong to the candidate. The controller can belong when its specific recurrent organization is indispensable. None of these boundary results establishes that the hybrid is conscious; it identifies the system to which a later consciousness test would apply.</w:t>
      </w:r>
    </w:p>
    <w:bookmarkEnd w:id="87"/>
    <w:bookmarkEnd w:id="88"/>
    <w:sectPr>
      <w:headerReference w:type="default" r:id="rId9"/>
      <w:footerReference w:type="default" r:id="rId10"/>
      <w:footnotePr>
        <w:numRestart w:val="eachSect"/>
      </w:footnotePr>
      <w:pgMar w:top="1224"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WHERE IS THE CONSCIOUS SUBJECT?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Times New Roman"/>
      <w:sz w:val="22"/>
    </w:rPr>
  </w:style>
  <w:style w:styleId="BodyText" w:type="paragraph">
    <w:name w:val="Body Text"/>
    <w:basedOn w:val="Normal"/>
    <w:link w:val="BodyTextChar"/>
    <w:qFormat/>
    <w:pPr>
      <w:widowControl/>
      <w:spacing w:after="120" w:before="180" w:line="276" w:lineRule="auto"/>
    </w:pPr>
    <w:rPr>
      <w:rFonts w:ascii="Times New Roman" w:hAnsi="Times New Roman" w:eastAsia="Times New Roman"/>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Times New Roman"/>
      <w:sz w:val="22"/>
    </w:rPr>
  </w:style>
  <w:style w:customStyle="1" w:styleId="Compact" w:type="paragraph">
    <w:name w:val="Compact"/>
    <w:basedOn w:val="BodyText"/>
    <w:qFormat/>
    <w:pPr>
      <w:widowControl/>
      <w:spacing w:after="120" w:before="36" w:line="276" w:lineRule="auto"/>
    </w:pPr>
    <w:rPr>
      <w:rFonts w:ascii="Times New Roman" w:hAnsi="Times New Roman" w:eastAsia="Times New Roman"/>
      <w:sz w:val="22"/>
    </w:rPr>
  </w:style>
  <w:style w:styleId="Title" w:type="paragraph">
    <w:name w:val="Title"/>
    <w:basedOn w:val="Normal"/>
    <w:next w:val="BodyText"/>
    <w:link w:val="TitleChar"/>
    <w:uiPriority w:val="10"/>
    <w:qFormat/>
    <w:rsid w:val="00A10FD9"/>
    <w:pPr>
      <w:spacing w:after="160" w:line="240" w:lineRule="auto" w:before="1600"/>
      <w:contextualSpacing/>
      <w:jc w:val="center"/>
    </w:pPr>
    <w:rPr>
      <w:rFonts w:asciiTheme="majorHAnsi" w:cstheme="majorBidi" w:eastAsiaTheme="majorEastAsia" w:hAnsiTheme="majorHAnsi" w:ascii="Times New Roman" w:hAnsi="Times New Roman" w:eastAsia="Times New Roman"/>
      <w:b/>
      <w:color w:val="1C2D4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560"/>
    </w:pPr>
    <w:rPr>
      <w:rFonts w:cstheme="majorBidi" w:eastAsiaTheme="majorEastAsia" w:ascii="Times New Roman" w:hAnsi="Times New Roman" w:eastAsia="Times New Roman"/>
      <w:i/>
      <w:color w:val="424D5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60"/>
    </w:pPr>
    <w:rPr>
      <w:rFonts w:ascii="Times New Roman" w:hAnsi="Times New Roman" w:eastAsia="Times New Roman"/>
      <w:sz w:val="24"/>
      <w:szCs w:val="24"/>
    </w:rPr>
  </w:style>
  <w:style w:styleId="Date" w:type="paragraph">
    <w:name w:val="Date"/>
    <w:basedOn w:val="Title"/>
    <w:next w:val="BodyText"/>
    <w:qFormat/>
    <w:pPr>
      <w:keepNext/>
      <w:keepLines/>
      <w:spacing w:line="276" w:lineRule="auto"/>
    </w:pPr>
    <w:rPr>
      <w:rFonts w:ascii="Times New Roman" w:hAnsi="Times New Roman" w:eastAsia="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1C2D4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b/>
      <w:color w:val="1C2D4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1C2D4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04" w:right="504"/>
    </w:pPr>
    <w:rPr>
      <w:rFonts w:ascii="Times New Roman" w:hAnsi="Times New Roman" w:eastAsia="Times New Roman"/>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Is the Conscious Subject?</dc:title>
  <dc:creator>Phil Stilwell</dc:creator>
  <cp:keywords>consciousness; system boundaries; dynamical autonomy; causal closure; system individuation</cp:keywords>
  <dcterms:created xsi:type="dcterms:W3CDTF">2026-07-11T02:05:49Z</dcterms:created>
  <dcterms:modified xsi:type="dcterms:W3CDTF">2026-07-11T02:05:49Z</dcterms:modified>
  <dc:subject>A Dynamical Criterion for System Boundaries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Scholar ORCID: 0009-0009-3725-8682</vt:lpwstr>
  </property>
  <property fmtid="{D5CDD505-2E9C-101B-9397-08002B2CF9AE}" pid="3" name="subtitle">
    <vt:lpwstr>A Dynamical Criterion for System Boundaries</vt:lpwstr>
  </property>
</Properties>
</file>