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30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Theological Inclination to Defensible Belief: Interactive Audits for Honest Religious Inquiry</w:t>
      </w:r>
    </w:p>
    <w:p>
      <w:pPr>
        <w:pStyle w:val="Author"/>
      </w:pPr>
      <w:r>
        <w:t xml:space="preserve">Phil Stilwell</w:t>
      </w:r>
    </w:p>
    <w:p>
      <w:pPr>
        <w:pStyle w:val="Date"/>
      </w:pPr>
      <w:r>
        <w:t xml:space="preserve">2026-05-17</w:t>
      </w:r>
    </w:p>
    <w:p>
      <w:pPr>
        <w:pStyle w:val="FirstParagraph"/>
      </w:pPr>
      <w:r>
        <w:rPr>
          <w:i/>
          <w:iCs/>
        </w:rPr>
        <w:t xml:space="preserve">ORCID:</w:t>
      </w:r>
      <w:r>
        <w:t xml:space="preserve"> </w:t>
      </w:r>
      <w:hyperlink r:id="rId9">
        <w:r>
          <w:rPr>
            <w:rStyle w:val="Hyperlink"/>
          </w:rPr>
          <w:t xml:space="preserve">https://orcid.org/0009-0009-3725-8682</w:t>
        </w:r>
      </w:hyperlink>
    </w:p>
    <w:p>
      <w:pPr>
        <w:pStyle w:val="BodyText"/>
      </w:pPr>
      <w:r>
        <w:rPr>
          <w:b/>
          <w:bCs/>
        </w:rPr>
        <w:t xml:space="preserve">Visual Preview: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visual-previe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introduces Crosshairs Audit Lab, a suite of nine interactive</w:t>
      </w:r>
      <w:r>
        <w:t xml:space="preserve"> </w:t>
      </w:r>
      <w:r>
        <w:t xml:space="preserve">browser-based tools designed to help theologically inclined inquirers move from</w:t>
      </w:r>
      <w:r>
        <w:t xml:space="preserve"> </w:t>
      </w:r>
      <w:r>
        <w:t xml:space="preserve">inherited confidence toward clearer, thinner, and more publicly defensible</w:t>
      </w:r>
      <w:r>
        <w:t xml:space="preserve"> </w:t>
      </w:r>
      <w:r>
        <w:t xml:space="preserve">belief positions. The paper argues that the central problem in much apologetic</w:t>
      </w:r>
      <w:r>
        <w:t xml:space="preserve"> </w:t>
      </w:r>
      <w:r>
        <w:t xml:space="preserve">reasoning is not simply false belief, but the collapse of several distinctions</w:t>
      </w:r>
      <w:r>
        <w:t xml:space="preserve"> </w:t>
      </w:r>
      <w:r>
        <w:t xml:space="preserve">that responsible inquiry requires: between confidence and substantiation,</w:t>
      </w:r>
      <w:r>
        <w:t xml:space="preserve"> </w:t>
      </w:r>
      <w:r>
        <w:t xml:space="preserve">private meaning and public evidence, thin conclusions and the thicker claims</w:t>
      </w:r>
      <w:r>
        <w:t xml:space="preserve"> </w:t>
      </w:r>
      <w:r>
        <w:t xml:space="preserve">later built upon them, and sincerity and correction-readiness. Framed as a</w:t>
      </w:r>
      <w:r>
        <w:t xml:space="preserve"> </w:t>
      </w:r>
      <w:r>
        <w:t xml:space="preserve">design-and-pedagogy paper rather than an outcome study, the essay situates the</w:t>
      </w:r>
      <w:r>
        <w:t xml:space="preserve"> </w:t>
      </w:r>
      <w:r>
        <w:t xml:space="preserve">suite within research on epistemic cognition, motivated reasoning,</w:t>
      </w:r>
      <w:r>
        <w:t xml:space="preserve"> </w:t>
      </w:r>
      <w:r>
        <w:t xml:space="preserve">disconfirmation in religious belief, and scaffolded conceptual change. It</w:t>
      </w:r>
      <w:r>
        <w:t xml:space="preserve"> </w:t>
      </w:r>
      <w:r>
        <w:t xml:space="preserve">argues that Crosshairs Audit Lab contributes a staged interactive method for</w:t>
      </w:r>
      <w:r>
        <w:t xml:space="preserve"> </w:t>
      </w:r>
      <w:r>
        <w:t xml:space="preserve">teaching seekers how to audit their own claims without requiring immediate</w:t>
      </w:r>
      <w:r>
        <w:t xml:space="preserve"> </w:t>
      </w:r>
      <w:r>
        <w:t xml:space="preserve">worldview abandonment. The suite’s pedagogical aim is not to coerce unbelief,</w:t>
      </w:r>
      <w:r>
        <w:t xml:space="preserve"> </w:t>
      </w:r>
      <w:r>
        <w:t xml:space="preserve">but to make belief answerable to explicit standards, explicit bridge premises,</w:t>
      </w:r>
      <w:r>
        <w:t xml:space="preserve"> </w:t>
      </w:r>
      <w:r>
        <w:t xml:space="preserve">and explicit conditions of revision.</w:t>
      </w:r>
    </w:p>
    <w:bookmarkEnd w:id="13"/>
    <w:bookmarkStart w:id="1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Inquiry about religion rarely begins from a position of perfect neutrality.</w:t>
      </w:r>
      <w:r>
        <w:t xml:space="preserve"> </w:t>
      </w:r>
      <w:r>
        <w:t xml:space="preserve">Many people approach theological questions already disposed toward a tradition,</w:t>
      </w:r>
      <w:r>
        <w:t xml:space="preserve"> </w:t>
      </w:r>
      <w:r>
        <w:t xml:space="preserve">already moved by forms of worship, already shaped by testimony, communal trust,</w:t>
      </w:r>
      <w:r>
        <w:t xml:space="preserve"> </w:t>
      </w:r>
      <w:r>
        <w:t xml:space="preserve">family inheritance, existential need, or the felt intelligibility of a</w:t>
      </w:r>
      <w:r>
        <w:t xml:space="preserve"> </w:t>
      </w:r>
      <w:r>
        <w:t xml:space="preserve">religious picture of the world. That starting point is not in itself</w:t>
      </w:r>
      <w:r>
        <w:t xml:space="preserve"> </w:t>
      </w:r>
      <w:r>
        <w:t xml:space="preserve">intellectually discrediting. All inquiry begins somewhere. The more difficult</w:t>
      </w:r>
      <w:r>
        <w:t xml:space="preserve"> </w:t>
      </w:r>
      <w:r>
        <w:t xml:space="preserve">question is what happens when inclination is silently converted into thick</w:t>
      </w:r>
      <w:r>
        <w:t xml:space="preserve"> </w:t>
      </w:r>
      <w:r>
        <w:t xml:space="preserve">public claims: when attraction to a tradition becomes confidence that its</w:t>
      </w:r>
      <w:r>
        <w:t xml:space="preserve"> </w:t>
      </w:r>
      <w:r>
        <w:t xml:space="preserve">miracles occurred, that its promises are evidentially reliable, that its moral</w:t>
      </w:r>
      <w:r>
        <w:t xml:space="preserve"> </w:t>
      </w:r>
      <w:r>
        <w:t xml:space="preserve">pronouncements are fully grounded, or that a thin argument for purposive order</w:t>
      </w:r>
      <w:r>
        <w:t xml:space="preserve"> </w:t>
      </w:r>
      <w:r>
        <w:t xml:space="preserve">licenses much thicker conclusions about divine personality, providence, or</w:t>
      </w:r>
      <w:r>
        <w:t xml:space="preserve"> </w:t>
      </w:r>
      <w:r>
        <w:t xml:space="preserve">Christian revelation. Much apologetic dispute, on this view, is not best</w:t>
      </w:r>
      <w:r>
        <w:t xml:space="preserve"> </w:t>
      </w:r>
      <w:r>
        <w:t xml:space="preserve">understood as a simple clash between faith and skepticism. It is better</w:t>
      </w:r>
      <w:r>
        <w:t xml:space="preserve"> </w:t>
      </w:r>
      <w:r>
        <w:t xml:space="preserve">understood as a disagreement over whether confidence, support, bridge premises,</w:t>
      </w:r>
      <w:r>
        <w:t xml:space="preserve"> </w:t>
      </w:r>
      <w:r>
        <w:t xml:space="preserve">and correction conditions have been properly distinguished.</w:t>
      </w:r>
    </w:p>
    <w:p>
      <w:pPr>
        <w:pStyle w:val="BodyText"/>
      </w:pPr>
      <w:r>
        <w:t xml:space="preserve">This paper argues that a substantial share of apologetic overreach arises when</w:t>
      </w:r>
      <w:r>
        <w:t xml:space="preserve"> </w:t>
      </w:r>
      <w:r>
        <w:t xml:space="preserve">those distinctions collapse. In many ordinary religious contexts, the language</w:t>
      </w:r>
      <w:r>
        <w:t xml:space="preserve"> </w:t>
      </w:r>
      <w:r>
        <w:t xml:space="preserve">of</w:t>
      </w:r>
      <w:r>
        <w:t xml:space="preserve"> </w:t>
      </w:r>
      <w:r>
        <w:t xml:space="preserve">“belief”</w:t>
      </w:r>
      <w:r>
        <w:t xml:space="preserve"> </w:t>
      </w:r>
      <w:r>
        <w:t xml:space="preserve">covers too much ground. It can refer at once to existential trust,</w:t>
      </w:r>
      <w:r>
        <w:t xml:space="preserve"> </w:t>
      </w:r>
      <w:r>
        <w:t xml:space="preserve">personal loyalty, probabilistic confidence, testimonial reliance, historical</w:t>
      </w:r>
      <w:r>
        <w:t xml:space="preserve"> </w:t>
      </w:r>
      <w:r>
        <w:t xml:space="preserve">judgment, communal identity, and public advocacy. The resulting ambiguity makes</w:t>
      </w:r>
      <w:r>
        <w:t xml:space="preserve"> </w:t>
      </w:r>
      <w:r>
        <w:t xml:space="preserve">it easy for a claim that is personally meaningful to be presented as publicly</w:t>
      </w:r>
      <w:r>
        <w:t xml:space="preserve"> </w:t>
      </w:r>
      <w:r>
        <w:t xml:space="preserve">well supported, or for a conclusion that is emotionally central to be granted</w:t>
      </w:r>
      <w:r>
        <w:t xml:space="preserve"> </w:t>
      </w:r>
      <w:r>
        <w:t xml:space="preserve">more inferential weight than the stated evidence can actually bear. A</w:t>
      </w:r>
      <w:r>
        <w:t xml:space="preserve"> </w:t>
      </w:r>
      <w:r>
        <w:t xml:space="preserve">defensible belief position, as the term is used here, is therefore not merely a</w:t>
      </w:r>
      <w:r>
        <w:t xml:space="preserve"> </w:t>
      </w:r>
      <w:r>
        <w:t xml:space="preserve">belief sincerely held. It is a position whose confidence level, evidential</w:t>
      </w:r>
      <w:r>
        <w:t xml:space="preserve"> </w:t>
      </w:r>
      <w:r>
        <w:t xml:space="preserve">support, inferential bridges, comparison standards, and correction conditions</w:t>
      </w:r>
      <w:r>
        <w:t xml:space="preserve"> </w:t>
      </w:r>
      <w:r>
        <w:t xml:space="preserve">have been made explicit enough to be publicly assessed.</w:t>
      </w:r>
    </w:p>
    <w:p>
      <w:pPr>
        <w:pStyle w:val="BodyText"/>
      </w:pPr>
      <w:r>
        <w:t xml:space="preserve">Crosshairs Audit Lab is a response to that problem. It is a suite of nine</w:t>
      </w:r>
      <w:r>
        <w:t xml:space="preserve"> </w:t>
      </w:r>
      <w:r>
        <w:t xml:space="preserve">browser-based audits that force users to specify how their reasoning is</w:t>
      </w:r>
      <w:r>
        <w:t xml:space="preserve"> </w:t>
      </w:r>
      <w:r>
        <w:t xml:space="preserve">structured rather than merely announce what they conclude. Its tools address</w:t>
      </w:r>
      <w:r>
        <w:t xml:space="preserve"> </w:t>
      </w:r>
      <w:r>
        <w:t xml:space="preserve">calibration, public testability, inductive symmetry, explicit evidential</w:t>
      </w:r>
      <w:r>
        <w:t xml:space="preserve"> </w:t>
      </w:r>
      <w:r>
        <w:t xml:space="preserve">accounting, moral-system architecture, and the recurrent thickening of thin</w:t>
      </w:r>
      <w:r>
        <w:t xml:space="preserve"> </w:t>
      </w:r>
      <w:r>
        <w:t xml:space="preserve">theistic inferences into broader Christian claims. The central claim of this</w:t>
      </w:r>
      <w:r>
        <w:t xml:space="preserve"> </w:t>
      </w:r>
      <w:r>
        <w:t xml:space="preserve">paper is that the suite is best understood not as a verdict machine and not</w:t>
      </w:r>
      <w:r>
        <w:t xml:space="preserve"> </w:t>
      </w:r>
      <w:r>
        <w:t xml:space="preserve">primarily as a polemical device, but as a pedagogical environment for epistemic</w:t>
      </w:r>
      <w:r>
        <w:t xml:space="preserve"> </w:t>
      </w:r>
      <w:r>
        <w:t xml:space="preserve">calibration.</w:t>
      </w:r>
    </w:p>
    <w:p>
      <w:pPr>
        <w:pStyle w:val="BodyText"/>
      </w:pPr>
      <w:r>
        <w:t xml:space="preserve">The paper makes three connected claims. First, apologetic overreach is often a</w:t>
      </w:r>
      <w:r>
        <w:t xml:space="preserve"> </w:t>
      </w:r>
      <w:r>
        <w:t xml:space="preserve">structural problem in which confidence, support, and bridge legitimacy are</w:t>
      </w:r>
      <w:r>
        <w:t xml:space="preserve"> </w:t>
      </w:r>
      <w:r>
        <w:t xml:space="preserve">conflated. Second, interactive audits can operationalize these distinctions more</w:t>
      </w:r>
      <w:r>
        <w:t xml:space="preserve"> </w:t>
      </w:r>
      <w:r>
        <w:t xml:space="preserve">effectively than abstract admonitions alone because they require users to make</w:t>
      </w:r>
      <w:r>
        <w:t xml:space="preserve"> </w:t>
      </w:r>
      <w:r>
        <w:t xml:space="preserve">their assumptions explicit. Third, a sequenced suite can help users move toward</w:t>
      </w:r>
      <w:r>
        <w:t xml:space="preserve"> </w:t>
      </w:r>
      <w:r>
        <w:t xml:space="preserve">thinner but more defensible claims without requiring immediate worldview</w:t>
      </w:r>
      <w:r>
        <w:t xml:space="preserve"> </w:t>
      </w:r>
      <w:r>
        <w:t xml:space="preserve">abandonment. The argument that follows is therefore a design-and-pedagogy</w:t>
      </w:r>
      <w:r>
        <w:t xml:space="preserve"> </w:t>
      </w:r>
      <w:r>
        <w:t xml:space="preserve">argument, not yet an effectiveness study.</w:t>
      </w:r>
    </w:p>
    <w:p>
      <w:pPr>
        <w:pStyle w:val="BodyText"/>
      </w:pPr>
      <w:r>
        <w:t xml:space="preserve">The literature review locates this project within research on epistemic</w:t>
      </w:r>
      <w:r>
        <w:t xml:space="preserve"> </w:t>
      </w:r>
      <w:r>
        <w:t xml:space="preserve">cognition, motivated reasoning, religious disconfirmation, and scaffolded</w:t>
      </w:r>
      <w:r>
        <w:t xml:space="preserve"> </w:t>
      </w:r>
      <w:r>
        <w:t xml:space="preserve">conceptual change. The later sections then explain the suite’s design logic, its</w:t>
      </w:r>
      <w:r>
        <w:t xml:space="preserve"> </w:t>
      </w:r>
      <w:r>
        <w:t xml:space="preserve">place relative to apologetic and philosophy-of-religion methods, and the kinds</w:t>
      </w:r>
      <w:r>
        <w:t xml:space="preserve"> </w:t>
      </w:r>
      <w:r>
        <w:t xml:space="preserve">of intellectual revision it is meant to cultivate.</w:t>
      </w:r>
    </w:p>
    <w:bookmarkEnd w:id="14"/>
    <w:bookmarkStart w:id="15" w:name="tool-suite-overview"/>
    <w:p>
      <w:pPr>
        <w:pStyle w:val="Heading1"/>
      </w:pPr>
      <w:r>
        <w:t xml:space="preserve">Tool Suite Overview</w:t>
      </w:r>
    </w:p>
    <w:p>
      <w:pPr>
        <w:pStyle w:val="FirstParagraph"/>
      </w:pPr>
      <w:r>
        <w:t xml:space="preserve">Crosshairs Audit Lab is organized as a pathway rather than a flat catalog.</w:t>
      </w:r>
      <w:r>
        <w:t xml:space="preserve"> </w:t>
      </w:r>
      <w:r>
        <w:t xml:space="preserve">Table 1 summarizes the nine tools by the question each one foregrounds. Full</w:t>
      </w:r>
      <w:r>
        <w:t xml:space="preserve"> </w:t>
      </w:r>
      <w:r>
        <w:t xml:space="preserve">links to each tool, manual, and curriculum PDF appear in the appendix.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Core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Calibration</w:t>
            </w:r>
          </w:p>
        </w:tc>
        <w:tc>
          <w:tcPr/>
          <w:p>
            <w:pPr>
              <w:pStyle w:val="Compact"/>
            </w:pPr>
            <w:r>
              <w:t xml:space="preserve">Belief Overreach Audit</w:t>
            </w:r>
          </w:p>
        </w:tc>
        <w:tc>
          <w:tcPr/>
          <w:p>
            <w:pPr>
              <w:pStyle w:val="Compact"/>
            </w:pPr>
            <w:r>
              <w:t xml:space="preserve">Does confidence exceed the support the user can actually articulate?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Public testability</w:t>
            </w:r>
          </w:p>
        </w:tc>
        <w:tc>
          <w:tcPr/>
          <w:p>
            <w:pPr>
              <w:pStyle w:val="Compact"/>
            </w:pPr>
            <w:r>
              <w:t xml:space="preserve">Earthly Promise Test Field</w:t>
            </w:r>
          </w:p>
        </w:tc>
        <w:tc>
          <w:tcPr/>
          <w:p>
            <w:pPr>
              <w:pStyle w:val="Compact"/>
            </w:pPr>
            <w:r>
              <w:t xml:space="preserve">Are divine-promise claims open to ordinary failure conditions and controls?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Comparative fairness</w:t>
            </w:r>
          </w:p>
        </w:tc>
        <w:tc>
          <w:tcPr/>
          <w:p>
            <w:pPr>
              <w:pStyle w:val="Compact"/>
            </w:pPr>
            <w:r>
              <w:t xml:space="preserve">Inductive Symmetry Audit</w:t>
            </w:r>
          </w:p>
        </w:tc>
        <w:tc>
          <w:tcPr/>
          <w:p>
            <w:pPr>
              <w:pStyle w:val="Compact"/>
            </w:pPr>
            <w:r>
              <w:t xml:space="preserve">Are similar patterns judged symmetrically across favored and rival cases?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Evidential accounting</w:t>
            </w:r>
          </w:p>
        </w:tc>
        <w:tc>
          <w:tcPr/>
          <w:p>
            <w:pPr>
              <w:pStyle w:val="Compact"/>
            </w:pPr>
            <w:r>
              <w:t xml:space="preserve">Resurrection Evidence Audit</w:t>
            </w:r>
          </w:p>
        </w:tc>
        <w:tc>
          <w:tcPr/>
          <w:p>
            <w:pPr>
              <w:pStyle w:val="Compact"/>
            </w:pPr>
            <w:r>
              <w:t xml:space="preserve">What priors, likelihoods, dependencies, and alternatives are carrying the conclusion?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Moral entry</w:t>
            </w:r>
          </w:p>
        </w:tc>
        <w:tc>
          <w:tcPr/>
          <w:p>
            <w:pPr>
              <w:pStyle w:val="Compact"/>
            </w:pPr>
            <w:r>
              <w:t xml:space="preserve">Moral System Threshold</w:t>
            </w:r>
          </w:p>
        </w:tc>
        <w:tc>
          <w:tcPr/>
          <w:p>
            <w:pPr>
              <w:pStyle w:val="Compact"/>
            </w:pPr>
            <w:r>
              <w:t xml:space="preserve">Is there a complete enough moral system to sustain the truth claim being made?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Moral stress</w:t>
            </w:r>
          </w:p>
        </w:tc>
        <w:tc>
          <w:tcPr/>
          <w:p>
            <w:pPr>
              <w:pStyle w:val="Compact"/>
            </w:pPr>
            <w:r>
              <w:t xml:space="preserve">Moral System Stress Test</w:t>
            </w:r>
          </w:p>
        </w:tc>
        <w:tc>
          <w:tcPr/>
          <w:p>
            <w:pPr>
              <w:pStyle w:val="Compact"/>
            </w:pPr>
            <w:r>
              <w:t xml:space="preserve">Does the asserted framework survive pressure on authority, coherence, and support?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Moral particulars</w:t>
            </w:r>
          </w:p>
        </w:tc>
        <w:tc>
          <w:tcPr/>
          <w:p>
            <w:pPr>
              <w:pStyle w:val="Compact"/>
            </w:pPr>
            <w:r>
              <w:t xml:space="preserve">Moral Particulars Audit</w:t>
            </w:r>
          </w:p>
        </w:tc>
        <w:tc>
          <w:tcPr/>
          <w:p>
            <w:pPr>
              <w:pStyle w:val="Compact"/>
            </w:pPr>
            <w:r>
              <w:t xml:space="preserve">Are case-level judgments consistent with the grounders the user invokes?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Bridge discipline</w:t>
            </w:r>
          </w:p>
        </w:tc>
        <w:tc>
          <w:tcPr/>
          <w:p>
            <w:pPr>
              <w:pStyle w:val="Compact"/>
            </w:pPr>
            <w:r>
              <w:t xml:space="preserve">Fine-Tuning Bridge Audit</w:t>
            </w:r>
          </w:p>
        </w:tc>
        <w:tc>
          <w:tcPr/>
          <w:p>
            <w:pPr>
              <w:pStyle w:val="Compact"/>
            </w:pPr>
            <w:r>
              <w:t xml:space="preserve">Does fine-tuning warrant design, purpose, theism, or something thinner?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Claim gradient</w:t>
            </w:r>
          </w:p>
        </w:tc>
        <w:tc>
          <w:tcPr/>
          <w:p>
            <w:pPr>
              <w:pStyle w:val="Compact"/>
            </w:pPr>
            <w:r>
              <w:t xml:space="preserve">Deism-Theism Gradient Audit</w:t>
            </w:r>
          </w:p>
        </w:tc>
        <w:tc>
          <w:tcPr/>
          <w:p>
            <w:pPr>
              <w:pStyle w:val="Compact"/>
            </w:pPr>
            <w:r>
              <w:t xml:space="preserve">How far beyond thin design inferences is the conclusion being thickened?</w:t>
            </w:r>
          </w:p>
        </w:tc>
      </w:tr>
    </w:tbl>
    <w:bookmarkEnd w:id="15"/>
    <w:bookmarkStart w:id="22" w:name="literature-review"/>
    <w:p>
      <w:pPr>
        <w:pStyle w:val="Heading1"/>
      </w:pPr>
      <w:r>
        <w:t xml:space="preserve">Literature Review</w:t>
      </w:r>
    </w:p>
    <w:bookmarkStart w:id="16" w:name="X9765c1fc8b47eb04a383af1d49da899574d8f97"/>
    <w:p>
      <w:pPr>
        <w:pStyle w:val="Heading2"/>
      </w:pPr>
      <w:r>
        <w:t xml:space="preserve">Epistemic Cognition and Standards of Justification</w:t>
      </w:r>
    </w:p>
    <w:p>
      <w:pPr>
        <w:pStyle w:val="FirstParagraph"/>
      </w:pPr>
      <w:r>
        <w:t xml:space="preserve">Research on epistemic cognition provides an important starting point for this</w:t>
      </w:r>
      <w:r>
        <w:t xml:space="preserve"> </w:t>
      </w:r>
      <w:r>
        <w:t xml:space="preserve">project because it asks how people understand knowledge itself: what counts as a</w:t>
      </w:r>
      <w:r>
        <w:t xml:space="preserve"> </w:t>
      </w:r>
      <w:r>
        <w:t xml:space="preserve">good reason, how certainty should be handled, how sources are evaluated, and</w:t>
      </w:r>
      <w:r>
        <w:t xml:space="preserve"> </w:t>
      </w:r>
      <w:r>
        <w:t xml:space="preserve">how claims become warranted rather than merely asserted. Hofer and Pintrich’s</w:t>
      </w:r>
      <w:r>
        <w:t xml:space="preserve"> </w:t>
      </w:r>
      <w:r>
        <w:t xml:space="preserve">classic review argued that beliefs about knowledge and knowing are not</w:t>
      </w:r>
      <w:r>
        <w:t xml:space="preserve"> </w:t>
      </w:r>
      <w:r>
        <w:t xml:space="preserve">peripheral to learning but deeply implicated in how learners assess claims,</w:t>
      </w:r>
      <w:r>
        <w:t xml:space="preserve"> </w:t>
      </w:r>
      <w:r>
        <w:t xml:space="preserve">authorities, and evidence</w:t>
      </w:r>
      <w:r>
        <w:t xml:space="preserve"> </w:t>
      </w:r>
      <w:r>
        <w:t xml:space="preserve">(Hofer and Pintrich 1997)</w:t>
      </w:r>
      <w:r>
        <w:t xml:space="preserve">. Later work has expanded this</w:t>
      </w:r>
      <w:r>
        <w:t xml:space="preserve"> </w:t>
      </w:r>
      <w:r>
        <w:t xml:space="preserve">picture by emphasizing that epistemic cognition includes judgments about</w:t>
      </w:r>
      <w:r>
        <w:t xml:space="preserve"> </w:t>
      </w:r>
      <w:r>
        <w:t xml:space="preserve">standards, sources, aims, and the processes by which claims should be evaluated</w:t>
      </w:r>
      <w:r>
        <w:t xml:space="preserve"> </w:t>
      </w:r>
      <w:r>
        <w:t xml:space="preserve">(Chinn et al. 2011; Sandoval et al. 2016)</w:t>
      </w:r>
      <w:r>
        <w:t xml:space="preserve">. In other words, inquiry is not shaped only by what</w:t>
      </w:r>
      <w:r>
        <w:t xml:space="preserve"> </w:t>
      </w:r>
      <w:r>
        <w:t xml:space="preserve">people know. It is shaped by what they take knowledge to be and by what they</w:t>
      </w:r>
      <w:r>
        <w:t xml:space="preserve"> </w:t>
      </w:r>
      <w:r>
        <w:t xml:space="preserve">implicitly accept as a sufficient route to it.</w:t>
      </w:r>
    </w:p>
    <w:p>
      <w:pPr>
        <w:pStyle w:val="BodyText"/>
      </w:pPr>
      <w:r>
        <w:t xml:space="preserve">That framework is especially relevant in apologetic settings, where thick</w:t>
      </w:r>
      <w:r>
        <w:t xml:space="preserve"> </w:t>
      </w:r>
      <w:r>
        <w:t xml:space="preserve">theological conclusions are often defended before the standards governing them</w:t>
      </w:r>
      <w:r>
        <w:t xml:space="preserve"> </w:t>
      </w:r>
      <w:r>
        <w:t xml:space="preserve">have been made explicit. A person may claim to</w:t>
      </w:r>
      <w:r>
        <w:t xml:space="preserve"> </w:t>
      </w:r>
      <w:r>
        <w:t xml:space="preserve">“know”</w:t>
      </w:r>
      <w:r>
        <w:t xml:space="preserve"> </w:t>
      </w:r>
      <w:r>
        <w:t xml:space="preserve">that prayer works, that a</w:t>
      </w:r>
      <w:r>
        <w:t xml:space="preserve"> </w:t>
      </w:r>
      <w:r>
        <w:t xml:space="preserve">historical miracle occurred, or that moral objectivity requires Christianity,</w:t>
      </w:r>
      <w:r>
        <w:t xml:space="preserve"> </w:t>
      </w:r>
      <w:r>
        <w:t xml:space="preserve">while operating with partly hidden assumptions about testimony, probability,</w:t>
      </w:r>
      <w:r>
        <w:t xml:space="preserve"> </w:t>
      </w:r>
      <w:r>
        <w:t xml:space="preserve">authority, analogy, or moral explanation. The problem is not merely that such</w:t>
      </w:r>
      <w:r>
        <w:t xml:space="preserve"> </w:t>
      </w:r>
      <w:r>
        <w:t xml:space="preserve">assumptions may be mistaken. It is that they often remain pedagogically</w:t>
      </w:r>
      <w:r>
        <w:t xml:space="preserve"> </w:t>
      </w:r>
      <w:r>
        <w:t xml:space="preserve">unarticulated. As a result, disagreements about religious belief are frequently</w:t>
      </w:r>
      <w:r>
        <w:t xml:space="preserve"> </w:t>
      </w:r>
      <w:r>
        <w:t xml:space="preserve">conducted one level too high, with disputants contesting conclusions before</w:t>
      </w:r>
      <w:r>
        <w:t xml:space="preserve"> </w:t>
      </w:r>
      <w:r>
        <w:t xml:space="preserve">they have identified the standards and inferential norms doing the hidden work.</w:t>
      </w:r>
      <w:r>
        <w:t xml:space="preserve"> </w:t>
      </w:r>
      <w:r>
        <w:t xml:space="preserve">Crosshairs Audit Lab is built around the claim that a more honest inquiry</w:t>
      </w:r>
      <w:r>
        <w:t xml:space="preserve"> </w:t>
      </w:r>
      <w:r>
        <w:t xml:space="preserve">environment can be created by forcing those norms into the open and by teaching</w:t>
      </w:r>
      <w:r>
        <w:t xml:space="preserve"> </w:t>
      </w:r>
      <w:r>
        <w:t xml:space="preserve">users to separate confidence from the justificatory architecture beneath it.</w:t>
      </w:r>
    </w:p>
    <w:bookmarkEnd w:id="16"/>
    <w:bookmarkStart w:id="17" w:name="X506777d25dbe62ed7fd7e3de4b9609b0d649c9d"/>
    <w:p>
      <w:pPr>
        <w:pStyle w:val="Heading2"/>
      </w:pPr>
      <w:r>
        <w:t xml:space="preserve">Motivated Reasoning, Overconfidence, and Identity Protection</w:t>
      </w:r>
    </w:p>
    <w:p>
      <w:pPr>
        <w:pStyle w:val="FirstParagraph"/>
      </w:pPr>
      <w:r>
        <w:t xml:space="preserve">If epistemic cognition explains part of the structure of inquiry, research on</w:t>
      </w:r>
      <w:r>
        <w:t xml:space="preserve"> </w:t>
      </w:r>
      <w:r>
        <w:t xml:space="preserve">motivated reasoning helps explain why that structure is so often distorted.</w:t>
      </w:r>
      <w:r>
        <w:t xml:space="preserve"> </w:t>
      </w:r>
      <w:r>
        <w:t xml:space="preserve">Kunda’s influential account argued that reasoning is frequently guided not only</w:t>
      </w:r>
      <w:r>
        <w:t xml:space="preserve"> </w:t>
      </w:r>
      <w:r>
        <w:t xml:space="preserve">by accuracy goals but by directional goals that shape which evidence is noticed,</w:t>
      </w:r>
      <w:r>
        <w:t xml:space="preserve"> </w:t>
      </w:r>
      <w:r>
        <w:t xml:space="preserve">which standards are applied, and which conclusions feel acceptable</w:t>
      </w:r>
      <w:r>
        <w:t xml:space="preserve"> </w:t>
      </w:r>
      <w:r>
        <w:t xml:space="preserve">(Kunda 1990)</w:t>
      </w:r>
      <w:r>
        <w:t xml:space="preserve">. Studies of overconfidence similarly show that subjective certainty</w:t>
      </w:r>
      <w:r>
        <w:t xml:space="preserve"> </w:t>
      </w:r>
      <w:r>
        <w:t xml:space="preserve">regularly exceeds actual warrant or performance, especially when people are</w:t>
      </w:r>
      <w:r>
        <w:t xml:space="preserve"> </w:t>
      </w:r>
      <w:r>
        <w:t xml:space="preserve">asked to make judgments under uncertainty</w:t>
      </w:r>
      <w:r>
        <w:t xml:space="preserve"> </w:t>
      </w:r>
      <w:r>
        <w:t xml:space="preserve">(Moore and Healy 2008)</w:t>
      </w:r>
      <w:r>
        <w:t xml:space="preserve">. Mercier and</w:t>
      </w:r>
      <w:r>
        <w:t xml:space="preserve"> </w:t>
      </w:r>
      <w:r>
        <w:t xml:space="preserve">Sperber’s argumentative theory adds another layer: much human reasoning appears</w:t>
      </w:r>
      <w:r>
        <w:t xml:space="preserve"> </w:t>
      </w:r>
      <w:r>
        <w:t xml:space="preserve">better suited to defending positions, evaluating arguments in social contexts,</w:t>
      </w:r>
      <w:r>
        <w:t xml:space="preserve"> </w:t>
      </w:r>
      <w:r>
        <w:t xml:space="preserve">and stabilizing commitments than to solitary truth-tracking in a pristine sense</w:t>
      </w:r>
      <w:r>
        <w:t xml:space="preserve"> </w:t>
      </w:r>
      <w:r>
        <w:t xml:space="preserve">(Mercier and Sperber 2011)</w:t>
      </w:r>
      <w:r>
        <w:t xml:space="preserve">. In identity-laden domains, these tendencies do not</w:t>
      </w:r>
      <w:r>
        <w:t xml:space="preserve"> </w:t>
      </w:r>
      <w:r>
        <w:t xml:space="preserve">disappear when people become more intelligent or more numerate. Kahan and</w:t>
      </w:r>
      <w:r>
        <w:t xml:space="preserve"> </w:t>
      </w:r>
      <w:r>
        <w:t xml:space="preserve">colleagues showed that greater quantitative sophistication can coexist with, and</w:t>
      </w:r>
      <w:r>
        <w:t xml:space="preserve"> </w:t>
      </w:r>
      <w:r>
        <w:t xml:space="preserve">even amplify, identity-protective interpretation when conclusions threaten group</w:t>
      </w:r>
      <w:r>
        <w:t xml:space="preserve"> </w:t>
      </w:r>
      <w:r>
        <w:t xml:space="preserve">belonging or prior commitments</w:t>
      </w:r>
      <w:r>
        <w:t xml:space="preserve"> </w:t>
      </w:r>
      <w:r>
        <w:t xml:space="preserve">(Kahan et al. 2017)</w:t>
      </w:r>
      <w:r>
        <w:t xml:space="preserve">.</w:t>
      </w:r>
    </w:p>
    <w:p>
      <w:pPr>
        <w:pStyle w:val="BodyText"/>
      </w:pPr>
      <w:r>
        <w:t xml:space="preserve">Religious apologetics is a natural setting for these dynamics. Doctrinal and</w:t>
      </w:r>
      <w:r>
        <w:t xml:space="preserve"> </w:t>
      </w:r>
      <w:r>
        <w:t xml:space="preserve">experiential claims are rarely processed as isolated propositions; they are</w:t>
      </w:r>
      <w:r>
        <w:t xml:space="preserve"> </w:t>
      </w:r>
      <w:r>
        <w:t xml:space="preserve">entangled with biography, community, moral aspiration, and narratives of self.</w:t>
      </w:r>
      <w:r>
        <w:t xml:space="preserve"> </w:t>
      </w:r>
      <w:r>
        <w:t xml:space="preserve">Under such conditions, argument often serves a double function. It can be a</w:t>
      </w:r>
      <w:r>
        <w:t xml:space="preserve"> </w:t>
      </w:r>
      <w:r>
        <w:t xml:space="preserve">genuine attempt at truth-seeking, but it can also become a way of preserving a</w:t>
      </w:r>
      <w:r>
        <w:t xml:space="preserve"> </w:t>
      </w:r>
      <w:r>
        <w:t xml:space="preserve">meaning-laden identity by rationally dressing what has already been</w:t>
      </w:r>
      <w:r>
        <w:t xml:space="preserve"> </w:t>
      </w:r>
      <w:r>
        <w:t xml:space="preserve">psychologically settled. That does not entail that religious conclusions are</w:t>
      </w:r>
      <w:r>
        <w:t xml:space="preserve"> </w:t>
      </w:r>
      <w:r>
        <w:t xml:space="preserve">therefore false. It does imply that any method intended to improve inquiry must</w:t>
      </w:r>
      <w:r>
        <w:t xml:space="preserve"> </w:t>
      </w:r>
      <w:r>
        <w:t xml:space="preserve">take motivational and identity-protective pressures seriously. One contribution</w:t>
      </w:r>
      <w:r>
        <w:t xml:space="preserve"> </w:t>
      </w:r>
      <w:r>
        <w:t xml:space="preserve">of the Crosshairs approach is to design around them rather than pretend they are</w:t>
      </w:r>
      <w:r>
        <w:t xml:space="preserve"> </w:t>
      </w:r>
      <w:r>
        <w:t xml:space="preserve">absent. By externalizing hidden assumptions, using comparison cases, and asking</w:t>
      </w:r>
      <w:r>
        <w:t xml:space="preserve"> </w:t>
      </w:r>
      <w:r>
        <w:t xml:space="preserve">users to state what would count against a favored claim, the tools attempt to</w:t>
      </w:r>
      <w:r>
        <w:t xml:space="preserve"> </w:t>
      </w:r>
      <w:r>
        <w:t xml:space="preserve">interrupt the smooth conversion of desire into apparent warrant.</w:t>
      </w:r>
    </w:p>
    <w:bookmarkEnd w:id="17"/>
    <w:bookmarkStart w:id="18" w:name="Xb51f7b5656b4e80f6bc91d917c410a46a8c323e"/>
    <w:p>
      <w:pPr>
        <w:pStyle w:val="Heading2"/>
      </w:pPr>
      <w:r>
        <w:t xml:space="preserve">Religious Inquiry, Disconfirmation, and Quest</w:t>
      </w:r>
    </w:p>
    <w:p>
      <w:pPr>
        <w:pStyle w:val="FirstParagraph"/>
      </w:pPr>
      <w:r>
        <w:t xml:space="preserve">The psychology of religion adds a more domain-specific account of what happens</w:t>
      </w:r>
      <w:r>
        <w:t xml:space="preserve"> </w:t>
      </w:r>
      <w:r>
        <w:t xml:space="preserve">when religious belief encounters counterevidence. Festinger’s theory of</w:t>
      </w:r>
      <w:r>
        <w:t xml:space="preserve"> </w:t>
      </w:r>
      <w:r>
        <w:t xml:space="preserve">cognitive dissonance remains foundational here because it explains why strongly</w:t>
      </w:r>
      <w:r>
        <w:t xml:space="preserve"> </w:t>
      </w:r>
      <w:r>
        <w:t xml:space="preserve">held commitments may provoke rationalization rather than revision when they are</w:t>
      </w:r>
      <w:r>
        <w:t xml:space="preserve"> </w:t>
      </w:r>
      <w:r>
        <w:t xml:space="preserve">threatened</w:t>
      </w:r>
      <w:r>
        <w:t xml:space="preserve"> </w:t>
      </w:r>
      <w:r>
        <w:t xml:space="preserve">(Festinger 1957)</w:t>
      </w:r>
      <w:r>
        <w:t xml:space="preserve">. Batson’s experimental work applied this insight to</w:t>
      </w:r>
      <w:r>
        <w:t xml:space="preserve"> </w:t>
      </w:r>
      <w:r>
        <w:t xml:space="preserve">religious belief more directly, showing that disconfirming information does not</w:t>
      </w:r>
      <w:r>
        <w:t xml:space="preserve"> </w:t>
      </w:r>
      <w:r>
        <w:t xml:space="preserve">automatically generate neutral reassessment; it can instead elicit processes of</w:t>
      </w:r>
      <w:r>
        <w:t xml:space="preserve"> </w:t>
      </w:r>
      <w:r>
        <w:t xml:space="preserve">rationalization aimed at preserving the stated belief</w:t>
      </w:r>
      <w:r>
        <w:t xml:space="preserve"> </w:t>
      </w:r>
      <w:r>
        <w:t xml:space="preserve">(Batson 1975)</w:t>
      </w:r>
      <w:r>
        <w:t xml:space="preserve">. Research on</w:t>
      </w:r>
      <w:r>
        <w:t xml:space="preserve"> </w:t>
      </w:r>
      <w:r>
        <w:t xml:space="preserve">selective exposure among fundamentalist Christians likewise suggests that</w:t>
      </w:r>
      <w:r>
        <w:t xml:space="preserve"> </w:t>
      </w:r>
      <w:r>
        <w:t xml:space="preserve">religious orientation can shape whether dissonant material is avoided,</w:t>
      </w:r>
      <w:r>
        <w:t xml:space="preserve"> </w:t>
      </w:r>
      <w:r>
        <w:t xml:space="preserve">discounted, or engaged under conditions already tilted in favor of preservation</w:t>
      </w:r>
      <w:r>
        <w:t xml:space="preserve"> </w:t>
      </w:r>
      <w:r>
        <w:t xml:space="preserve">(McFarland and Warren 1992)</w:t>
      </w:r>
      <w:r>
        <w:t xml:space="preserve">.</w:t>
      </w:r>
    </w:p>
    <w:p>
      <w:pPr>
        <w:pStyle w:val="BodyText"/>
      </w:pPr>
      <w:r>
        <w:t xml:space="preserve">At the same time, the literature on religion as quest complicates any simple</w:t>
      </w:r>
      <w:r>
        <w:t xml:space="preserve"> </w:t>
      </w:r>
      <w:r>
        <w:t xml:space="preserve">picture in which religiosity is equated with dogmatic closure. Batson and</w:t>
      </w:r>
      <w:r>
        <w:t xml:space="preserve"> </w:t>
      </w:r>
      <w:r>
        <w:t xml:space="preserve">Schoenrade argued that one recognizable religious orientation values openness,</w:t>
      </w:r>
      <w:r>
        <w:t xml:space="preserve"> </w:t>
      </w:r>
      <w:r>
        <w:t xml:space="preserve">self-critique, and the tentative pursuit of truth rather than premature</w:t>
      </w:r>
      <w:r>
        <w:t xml:space="preserve"> </w:t>
      </w:r>
      <w:r>
        <w:t xml:space="preserve">closure</w:t>
      </w:r>
      <w:r>
        <w:t xml:space="preserve"> </w:t>
      </w:r>
      <w:r>
        <w:t xml:space="preserve">(Batson and Schoenrade 1991)</w:t>
      </w:r>
      <w:r>
        <w:t xml:space="preserve">. That strand of research matters for the</w:t>
      </w:r>
      <w:r>
        <w:t xml:space="preserve"> </w:t>
      </w:r>
      <w:r>
        <w:t xml:space="preserve">present project because Crosshairs is not written only for skeptics arguing</w:t>
      </w:r>
      <w:r>
        <w:t xml:space="preserve"> </w:t>
      </w:r>
      <w:r>
        <w:t xml:space="preserve">against Christians. It is also written for religious inquirers who wish to</w:t>
      </w:r>
      <w:r>
        <w:t xml:space="preserve"> </w:t>
      </w:r>
      <w:r>
        <w:t xml:space="preserve">retain honesty under pressure. The suite presumes that there are users who do</w:t>
      </w:r>
      <w:r>
        <w:t xml:space="preserve"> </w:t>
      </w:r>
      <w:r>
        <w:t xml:space="preserve">not want their beliefs protected at any cost, but who nevertheless need</w:t>
      </w:r>
      <w:r>
        <w:t xml:space="preserve"> </w:t>
      </w:r>
      <w:r>
        <w:t xml:space="preserve">structures robust enough to help them separate existential commitment from</w:t>
      </w:r>
      <w:r>
        <w:t xml:space="preserve"> </w:t>
      </w:r>
      <w:r>
        <w:t xml:space="preserve">publicly defensible argument. In this sense, the project attempts to provide a</w:t>
      </w:r>
      <w:r>
        <w:t xml:space="preserve"> </w:t>
      </w:r>
      <w:r>
        <w:t xml:space="preserve">practical method for a quest-like posture without romanticizing openness as if</w:t>
      </w:r>
      <w:r>
        <w:t xml:space="preserve"> </w:t>
      </w:r>
      <w:r>
        <w:t xml:space="preserve">it were costless. Openness becomes pedagogically real only when the inquiry</w:t>
      </w:r>
      <w:r>
        <w:t xml:space="preserve"> </w:t>
      </w:r>
      <w:r>
        <w:t xml:space="preserve">environment specifies what counts as support, what counts as failure, and what</w:t>
      </w:r>
      <w:r>
        <w:t xml:space="preserve"> </w:t>
      </w:r>
      <w:r>
        <w:t xml:space="preserve">revision would look like.</w:t>
      </w:r>
    </w:p>
    <w:bookmarkEnd w:id="18"/>
    <w:bookmarkStart w:id="19" w:name="Xd21d3a66bffcbf2870d4666b4b4a42ffbd7cf66"/>
    <w:p>
      <w:pPr>
        <w:pStyle w:val="Heading2"/>
      </w:pPr>
      <w:r>
        <w:t xml:space="preserve">Scaffolding, Conceptual Change, and Sequenced Pedagogy</w:t>
      </w:r>
    </w:p>
    <w:p>
      <w:pPr>
        <w:pStyle w:val="FirstParagraph"/>
      </w:pPr>
      <w:r>
        <w:t xml:space="preserve">The educational literature helps explain why such specification must be staged.</w:t>
      </w:r>
      <w:r>
        <w:t xml:space="preserve"> </w:t>
      </w:r>
      <w:r>
        <w:t xml:space="preserve">Wood, Bruner, and Ross’s account of scaffolding showed how complex reasoning can</w:t>
      </w:r>
      <w:r>
        <w:t xml:space="preserve"> </w:t>
      </w:r>
      <w:r>
        <w:t xml:space="preserve">be made possible when tasks are structured so that learners can perform beyond</w:t>
      </w:r>
      <w:r>
        <w:t xml:space="preserve"> </w:t>
      </w:r>
      <w:r>
        <w:t xml:space="preserve">their unaided level of organization</w:t>
      </w:r>
      <w:r>
        <w:t xml:space="preserve"> </w:t>
      </w:r>
      <w:r>
        <w:t xml:space="preserve">(Wood et al. 1976)</w:t>
      </w:r>
      <w:r>
        <w:t xml:space="preserve">. In the conceptual change</w:t>
      </w:r>
      <w:r>
        <w:t xml:space="preserve"> </w:t>
      </w:r>
      <w:r>
        <w:t xml:space="preserve">tradition, Posner and colleagues argued that significant belief revision often</w:t>
      </w:r>
      <w:r>
        <w:t xml:space="preserve"> </w:t>
      </w:r>
      <w:r>
        <w:t xml:space="preserve">requires dissatisfaction with prior conceptions together with the availability</w:t>
      </w:r>
      <w:r>
        <w:t xml:space="preserve"> </w:t>
      </w:r>
      <w:r>
        <w:t xml:space="preserve">of alternatives that are intelligible, plausible, and fruitful</w:t>
      </w:r>
      <w:r>
        <w:t xml:space="preserve"> </w:t>
      </w:r>
      <w:r>
        <w:t xml:space="preserve">(Posner et al. 1982)</w:t>
      </w:r>
      <w:r>
        <w:t xml:space="preserve">.</w:t>
      </w:r>
      <w:r>
        <w:t xml:space="preserve"> </w:t>
      </w:r>
      <w:r>
        <w:t xml:space="preserve">Later work complicated the original, relatively</w:t>
      </w:r>
      <w:r>
        <w:t xml:space="preserve"> </w:t>
      </w:r>
      <w:r>
        <w:t xml:space="preserve">“cold”</w:t>
      </w:r>
      <w:r>
        <w:t xml:space="preserve"> </w:t>
      </w:r>
      <w:r>
        <w:t xml:space="preserve">picture by insisting</w:t>
      </w:r>
      <w:r>
        <w:t xml:space="preserve"> </w:t>
      </w:r>
      <w:r>
        <w:t xml:space="preserve">that conceptual change is not governed by cognition alone. Motivation,</w:t>
      </w:r>
      <w:r>
        <w:t xml:space="preserve"> </w:t>
      </w:r>
      <w:r>
        <w:t xml:space="preserve">classroom climate, goals, and identity-relevant concerns shape whether learners</w:t>
      </w:r>
      <w:r>
        <w:t xml:space="preserve"> </w:t>
      </w:r>
      <w:r>
        <w:t xml:space="preserve">will even entertain revision in the first place</w:t>
      </w:r>
      <w:r>
        <w:t xml:space="preserve"> </w:t>
      </w:r>
      <w:r>
        <w:t xml:space="preserve">(Pintrich et al. 1993)</w:t>
      </w:r>
      <w:r>
        <w:t xml:space="preserve">.</w:t>
      </w:r>
    </w:p>
    <w:p>
      <w:pPr>
        <w:pStyle w:val="BodyText"/>
      </w:pPr>
      <w:r>
        <w:t xml:space="preserve">These insights are especially pertinent for theological inquiry. A direct attack</w:t>
      </w:r>
      <w:r>
        <w:t xml:space="preserve"> </w:t>
      </w:r>
      <w:r>
        <w:t xml:space="preserve">on a person’s highest-order worldview commitments may generate rhetorical</w:t>
      </w:r>
      <w:r>
        <w:t xml:space="preserve"> </w:t>
      </w:r>
      <w:r>
        <w:t xml:space="preserve">resistance long before it generates careful thought. If the pedagogical</w:t>
      </w:r>
      <w:r>
        <w:t xml:space="preserve"> </w:t>
      </w:r>
      <w:r>
        <w:t xml:space="preserve">environment makes revision feel like total self-loss, then even strong arguments</w:t>
      </w:r>
      <w:r>
        <w:t xml:space="preserve"> </w:t>
      </w:r>
      <w:r>
        <w:t xml:space="preserve">may never receive a fair hearing. Crosshairs addresses this challenge by</w:t>
      </w:r>
      <w:r>
        <w:t xml:space="preserve"> </w:t>
      </w:r>
      <w:r>
        <w:t xml:space="preserve">distributing revisionary pressure across a sequence of narrower tasks. The user</w:t>
      </w:r>
      <w:r>
        <w:t xml:space="preserve"> </w:t>
      </w:r>
      <w:r>
        <w:t xml:space="preserve">is not asked first whether Christianity is false. The user is asked whether</w:t>
      </w:r>
      <w:r>
        <w:t xml:space="preserve"> </w:t>
      </w:r>
      <w:r>
        <w:t xml:space="preserve">confidence matches support, whether a promise claim names a failure condition,</w:t>
      </w:r>
      <w:r>
        <w:t xml:space="preserve"> </w:t>
      </w:r>
      <w:r>
        <w:t xml:space="preserve">whether the same inductive pattern would be tolerated in a rival case, whether a</w:t>
      </w:r>
      <w:r>
        <w:t xml:space="preserve"> </w:t>
      </w:r>
      <w:r>
        <w:t xml:space="preserve">moral claim has a complete grounding structure, or whether a thin design</w:t>
      </w:r>
      <w:r>
        <w:t xml:space="preserve"> </w:t>
      </w:r>
      <w:r>
        <w:t xml:space="preserve">inference really bears the theological weight later placed upon it. This</w:t>
      </w:r>
      <w:r>
        <w:t xml:space="preserve"> </w:t>
      </w:r>
      <w:r>
        <w:t xml:space="preserve">sequencing reflects a scaffolding judgment: people often need smaller,</w:t>
      </w:r>
      <w:r>
        <w:t xml:space="preserve"> </w:t>
      </w:r>
      <w:r>
        <w:t xml:space="preserve">explicitly bounded acts of epistemic honesty before they can undertake larger</w:t>
      </w:r>
      <w:r>
        <w:t xml:space="preserve"> </w:t>
      </w:r>
      <w:r>
        <w:t xml:space="preserve">acts of worldview revision.</w:t>
      </w:r>
    </w:p>
    <w:bookmarkEnd w:id="19"/>
    <w:bookmarkStart w:id="20" w:name="X9c3fa8517e2be8b9744387ade3f5a08109d50b5"/>
    <w:p>
      <w:pPr>
        <w:pStyle w:val="Heading2"/>
      </w:pPr>
      <w:r>
        <w:t xml:space="preserve">The Gap Addressed by Interactive Religious Audits</w:t>
      </w:r>
    </w:p>
    <w:p>
      <w:pPr>
        <w:pStyle w:val="FirstParagraph"/>
      </w:pPr>
      <w:r>
        <w:t xml:space="preserve">Taken together, these literatures diagnose the problem space with considerable</w:t>
      </w:r>
      <w:r>
        <w:t xml:space="preserve"> </w:t>
      </w:r>
      <w:r>
        <w:t xml:space="preserve">force. Research on epistemic cognition explains why standards of knowing matter.</w:t>
      </w:r>
      <w:r>
        <w:t xml:space="preserve"> </w:t>
      </w:r>
      <w:r>
        <w:t xml:space="preserve">Work on motivated reasoning and overconfidence shows why those standards are so</w:t>
      </w:r>
      <w:r>
        <w:t xml:space="preserve"> </w:t>
      </w:r>
      <w:r>
        <w:t xml:space="preserve">easily bent in identity-laden domains. The psychology of religion shows that</w:t>
      </w:r>
      <w:r>
        <w:t xml:space="preserve"> </w:t>
      </w:r>
      <w:r>
        <w:t xml:space="preserve">disconfirmation often triggers rationalization and selective exposure, even</w:t>
      </w:r>
      <w:r>
        <w:t xml:space="preserve"> </w:t>
      </w:r>
      <w:r>
        <w:t xml:space="preserve">while some forms of religiosity remain open to a more self-critical mode.</w:t>
      </w:r>
      <w:r>
        <w:t xml:space="preserve"> </w:t>
      </w:r>
      <w:r>
        <w:t xml:space="preserve">Educational theory shows that durable revision is scaffolded, affectively</w:t>
      </w:r>
      <w:r>
        <w:t xml:space="preserve"> </w:t>
      </w:r>
      <w:r>
        <w:t xml:space="preserve">loaded, and context-sensitive rather than purely inferential. What remains</w:t>
      </w:r>
      <w:r>
        <w:t xml:space="preserve"> </w:t>
      </w:r>
      <w:r>
        <w:t xml:space="preserve">underdeveloped is a practical, integrated, and sequenced intervention that</w:t>
      </w:r>
      <w:r>
        <w:t xml:space="preserve"> </w:t>
      </w:r>
      <w:r>
        <w:t xml:space="preserve">translates these insights into a toolset for real-time religious self-audit.</w:t>
      </w:r>
    </w:p>
    <w:p>
      <w:pPr>
        <w:pStyle w:val="BodyText"/>
      </w:pPr>
      <w:r>
        <w:t xml:space="preserve">Much existing apologetic pedagogy still proceeds either by doctrinal defense or</w:t>
      </w:r>
      <w:r>
        <w:t xml:space="preserve"> </w:t>
      </w:r>
      <w:r>
        <w:t xml:space="preserve">by essayistic critique. Both genres can be valuable, but neither reliably</w:t>
      </w:r>
      <w:r>
        <w:t xml:space="preserve"> </w:t>
      </w:r>
      <w:r>
        <w:t xml:space="preserve">requires users to make their weights, thresholds, and bridge assumptions</w:t>
      </w:r>
      <w:r>
        <w:t xml:space="preserve"> </w:t>
      </w:r>
      <w:r>
        <w:t xml:space="preserve">explicit. Crosshairs Audit Lab proposes a different model: a suite of</w:t>
      </w:r>
      <w:r>
        <w:t xml:space="preserve"> </w:t>
      </w:r>
      <w:r>
        <w:t xml:space="preserve">interactive audits that transform disputed religious reasoning into visible,</w:t>
      </w:r>
      <w:r>
        <w:t xml:space="preserve"> </w:t>
      </w:r>
      <w:r>
        <w:t xml:space="preserve">revisable, and comparatively testable structures. Its novelty lies less in the</w:t>
      </w:r>
      <w:r>
        <w:t xml:space="preserve"> </w:t>
      </w:r>
      <w:r>
        <w:t xml:space="preserve">claim that religious reasoning is biased or difficult; that is already well</w:t>
      </w:r>
      <w:r>
        <w:t xml:space="preserve"> </w:t>
      </w:r>
      <w:r>
        <w:t xml:space="preserve">documented. Its novelty lies in operationalizing a route by which a</w:t>
      </w:r>
      <w:r>
        <w:t xml:space="preserve"> </w:t>
      </w:r>
      <w:r>
        <w:t xml:space="preserve">theologically inclined seeker can move from confidence to defensibility through</w:t>
      </w:r>
      <w:r>
        <w:t xml:space="preserve"> </w:t>
      </w:r>
      <w:r>
        <w:t xml:space="preserve">staged acts of clarification, symmetry-checking, evidential accounting, and</w:t>
      </w:r>
      <w:r>
        <w:t xml:space="preserve"> </w:t>
      </w:r>
      <w:r>
        <w:t xml:space="preserve">moral-system inspection.</w:t>
      </w:r>
    </w:p>
    <w:bookmarkEnd w:id="20"/>
    <w:bookmarkStart w:id="21" w:name="Xae790f002826c8c65e6b3e8b71d36d20d4bda13"/>
    <w:p>
      <w:pPr>
        <w:pStyle w:val="Heading2"/>
      </w:pPr>
      <w:r>
        <w:t xml:space="preserve">Positioning Within Philosophy of Religion and Apologetics</w:t>
      </w:r>
    </w:p>
    <w:p>
      <w:pPr>
        <w:pStyle w:val="FirstParagraph"/>
      </w:pPr>
      <w:r>
        <w:t xml:space="preserve">This project also needs to be located relative to better-known methods in</w:t>
      </w:r>
      <w:r>
        <w:t xml:space="preserve"> </w:t>
      </w:r>
      <w:r>
        <w:t xml:space="preserve">philosophy of religion and apologetics. First, Crosshairs is not a simple</w:t>
      </w:r>
      <w:r>
        <w:t xml:space="preserve"> </w:t>
      </w:r>
      <w:r>
        <w:t xml:space="preserve">rejection of reformed epistemology or experiential models of warrant. Plantinga’s</w:t>
      </w:r>
      <w:r>
        <w:t xml:space="preserve"> </w:t>
      </w:r>
      <w:r>
        <w:t xml:space="preserve">account of warranted Christian belief and Alston’s defense of religious</w:t>
      </w:r>
      <w:r>
        <w:t xml:space="preserve"> </w:t>
      </w:r>
      <w:r>
        <w:t xml:space="preserve">experience both make room for religious belief that is not reducible to public</w:t>
      </w:r>
      <w:r>
        <w:t xml:space="preserve"> </w:t>
      </w:r>
      <w:r>
        <w:t xml:space="preserve">argument in the narrow evidentialist sense</w:t>
      </w:r>
      <w:r>
        <w:t xml:space="preserve"> </w:t>
      </w:r>
      <w:r>
        <w:t xml:space="preserve">(Plantinga 2000; Alston 1991)</w:t>
      </w:r>
      <w:r>
        <w:t xml:space="preserve">.</w:t>
      </w:r>
      <w:r>
        <w:t xml:space="preserve"> </w:t>
      </w:r>
      <w:r>
        <w:t xml:space="preserve">Crosshairs does not attempt to settle whether such internal warrant exists. It</w:t>
      </w:r>
      <w:r>
        <w:t xml:space="preserve"> </w:t>
      </w:r>
      <w:r>
        <w:t xml:space="preserve">addresses a narrower and more public problem: what happens when confidence rooted</w:t>
      </w:r>
      <w:r>
        <w:t xml:space="preserve"> </w:t>
      </w:r>
      <w:r>
        <w:t xml:space="preserve">in devotion, practice, or experience is advanced as historical evidence,</w:t>
      </w:r>
      <w:r>
        <w:t xml:space="preserve"> </w:t>
      </w:r>
      <w:r>
        <w:t xml:space="preserve">comparative argument, or publicly persuasive apologetic conclusion.</w:t>
      </w:r>
    </w:p>
    <w:p>
      <w:pPr>
        <w:pStyle w:val="BodyText"/>
      </w:pPr>
      <w:r>
        <w:t xml:space="preserve">Second, the suite differs from cumulative-case apologetics less by rejecting all</w:t>
      </w:r>
      <w:r>
        <w:t xml:space="preserve"> </w:t>
      </w:r>
      <w:r>
        <w:t xml:space="preserve">probabilistic reasoning than by auditing how probability arguments are extended.</w:t>
      </w:r>
      <w:r>
        <w:t xml:space="preserve"> </w:t>
      </w:r>
      <w:r>
        <w:t xml:space="preserve">Swinburne’s work is exemplary here because it makes theistic and resurrection</w:t>
      </w:r>
      <w:r>
        <w:t xml:space="preserve"> </w:t>
      </w:r>
      <w:r>
        <w:t xml:space="preserve">claims explicit in terms of explanatory scope, prior probability, and cumulative</w:t>
      </w:r>
      <w:r>
        <w:t xml:space="preserve"> </w:t>
      </w:r>
      <w:r>
        <w:t xml:space="preserve">support</w:t>
      </w:r>
      <w:r>
        <w:t xml:space="preserve"> </w:t>
      </w:r>
      <w:r>
        <w:t xml:space="preserve">(Swinburne 2004, 2003)</w:t>
      </w:r>
      <w:r>
        <w:t xml:space="preserve">. Crosshairs shares that demand for</w:t>
      </w:r>
      <w:r>
        <w:t xml:space="preserve"> </w:t>
      </w:r>
      <w:r>
        <w:t xml:space="preserve">explicit accounting, but adds two further constraints: bridge-premise visibility</w:t>
      </w:r>
      <w:r>
        <w:t xml:space="preserve"> </w:t>
      </w:r>
      <w:r>
        <w:t xml:space="preserve">and comparative symmetry across rival cases. A claim may still survive those</w:t>
      </w:r>
      <w:r>
        <w:t xml:space="preserve"> </w:t>
      </w:r>
      <w:r>
        <w:t xml:space="preserve">constraints. The point is that the route by which it survives must become</w:t>
      </w:r>
      <w:r>
        <w:t xml:space="preserve"> </w:t>
      </w:r>
      <w:r>
        <w:t xml:space="preserve">inspectable.</w:t>
      </w:r>
    </w:p>
    <w:p>
      <w:pPr>
        <w:pStyle w:val="BodyText"/>
      </w:pPr>
      <w:r>
        <w:t xml:space="preserve">Crosshairs should therefore be read as a meta-pedagogical intervention rather</w:t>
      </w:r>
      <w:r>
        <w:t xml:space="preserve"> </w:t>
      </w:r>
      <w:r>
        <w:t xml:space="preserve">than as one more first-order apologetic case. It neither replaces substantive</w:t>
      </w:r>
      <w:r>
        <w:t xml:space="preserve"> </w:t>
      </w:r>
      <w:r>
        <w:t xml:space="preserve">philosophy of religion nor offers a freestanding skeptical proof. Instead, it</w:t>
      </w:r>
      <w:r>
        <w:t xml:space="preserve"> </w:t>
      </w:r>
      <w:r>
        <w:t xml:space="preserve">audits the movement from theological inclination to publicly defensible claim,</w:t>
      </w:r>
      <w:r>
        <w:t xml:space="preserve"> </w:t>
      </w:r>
      <w:r>
        <w:t xml:space="preserve">asking when that movement is proportioned, when it becomes overextended, and</w:t>
      </w:r>
      <w:r>
        <w:t xml:space="preserve"> </w:t>
      </w:r>
      <w:r>
        <w:t xml:space="preserve">which intermediate assumptions are doing the hidden work.</w:t>
      </w:r>
    </w:p>
    <w:bookmarkEnd w:id="21"/>
    <w:bookmarkEnd w:id="22"/>
    <w:bookmarkStart w:id="29" w:name="design-logic-of-crosshairs-audit-lab"/>
    <w:p>
      <w:pPr>
        <w:pStyle w:val="Heading1"/>
      </w:pPr>
      <w:r>
        <w:t xml:space="preserve">Design Logic of Crosshairs Audit Lab</w:t>
      </w:r>
    </w:p>
    <w:bookmarkStart w:id="23" w:name="calibration-before-conclusion"/>
    <w:p>
      <w:pPr>
        <w:pStyle w:val="Heading2"/>
      </w:pPr>
      <w:r>
        <w:t xml:space="preserve">Calibration Before Conclusion</w:t>
      </w:r>
    </w:p>
    <w:p>
      <w:pPr>
        <w:pStyle w:val="FirstParagraph"/>
      </w:pPr>
      <w:r>
        <w:t xml:space="preserve">The suite begins from a simple pedagogical conviction: many disputes about</w:t>
      </w:r>
      <w:r>
        <w:t xml:space="preserve"> </w:t>
      </w:r>
      <w:r>
        <w:t xml:space="preserve">religion are fruitless because the participants have not first learned to</w:t>
      </w:r>
      <w:r>
        <w:t xml:space="preserve"> </w:t>
      </w:r>
      <w:r>
        <w:t xml:space="preserve">distinguish confidence from support in a general form. The early tools</w:t>
      </w:r>
      <w:r>
        <w:t xml:space="preserve"> </w:t>
      </w:r>
      <w:r>
        <w:t xml:space="preserve">therefore do not immediately force users into the deepest regions of doctrinal</w:t>
      </w:r>
      <w:r>
        <w:t xml:space="preserve"> </w:t>
      </w:r>
      <w:r>
        <w:t xml:space="preserve">self-exposure. They begin with comparatively low-threat tasks in which the</w:t>
      </w:r>
      <w:r>
        <w:t xml:space="preserve"> </w:t>
      </w:r>
      <w:r>
        <w:t xml:space="preserve">central pattern can be seen without requiring an immediate stance on the truth</w:t>
      </w:r>
      <w:r>
        <w:t xml:space="preserve"> </w:t>
      </w:r>
      <w:r>
        <w:t xml:space="preserve">of Christianity. This reflects a transfer strategy. If users can recognize</w:t>
      </w:r>
      <w:r>
        <w:t xml:space="preserve"> </w:t>
      </w:r>
      <w:r>
        <w:t xml:space="preserve">overcommitment in gambling, investment, medicine, or personal decision-making,</w:t>
      </w:r>
      <w:r>
        <w:t xml:space="preserve"> </w:t>
      </w:r>
      <w:r>
        <w:t xml:space="preserve">they are better positioned to recognize structurally similar overreach in</w:t>
      </w:r>
      <w:r>
        <w:t xml:space="preserve"> </w:t>
      </w:r>
      <w:r>
        <w:t xml:space="preserve">religious settings. The pedagogical wager is that insight travels better when</w:t>
      </w:r>
      <w:r>
        <w:t xml:space="preserve"> </w:t>
      </w:r>
      <w:r>
        <w:t xml:space="preserve">the first lesson is about reasoning form rather than ideological target.</w:t>
      </w:r>
    </w:p>
    <w:p>
      <w:pPr>
        <w:pStyle w:val="BodyText"/>
      </w:pPr>
      <w:r>
        <w:t xml:space="preserve">This design principle also imposes discipline on the suite itself. A tool should</w:t>
      </w:r>
      <w:r>
        <w:t xml:space="preserve"> </w:t>
      </w:r>
      <w:r>
        <w:t xml:space="preserve">not pretend to settle a higher-order theological question when it is only</w:t>
      </w:r>
      <w:r>
        <w:t xml:space="preserve"> </w:t>
      </w:r>
      <w:r>
        <w:t xml:space="preserve">teaching a lower-order epistemic distinction. Crosshairs therefore tries to</w:t>
      </w:r>
      <w:r>
        <w:t xml:space="preserve"> </w:t>
      </w:r>
      <w:r>
        <w:t xml:space="preserve">stage its claims carefully. A finding that confidence exceeds support does not</w:t>
      </w:r>
      <w:r>
        <w:t xml:space="preserve"> </w:t>
      </w:r>
      <w:r>
        <w:t xml:space="preserve">by itself show that the conclusion is false. A finding that a claim has no clean</w:t>
      </w:r>
      <w:r>
        <w:t xml:space="preserve"> </w:t>
      </w:r>
      <w:r>
        <w:t xml:space="preserve">failure condition does not by itself show that the claim can never be true. What</w:t>
      </w:r>
      <w:r>
        <w:t xml:space="preserve"> </w:t>
      </w:r>
      <w:r>
        <w:t xml:space="preserve">such findings do show is that the user’s current route to public defensibility</w:t>
      </w:r>
      <w:r>
        <w:t xml:space="preserve"> </w:t>
      </w:r>
      <w:r>
        <w:t xml:space="preserve">is under strain. The aim is to regulate the relationship between claim-strength</w:t>
      </w:r>
      <w:r>
        <w:t xml:space="preserve"> </w:t>
      </w:r>
      <w:r>
        <w:t xml:space="preserve">and support-strength, not to infer more than the audit can justify.</w:t>
      </w:r>
    </w:p>
    <w:bookmarkEnd w:id="23"/>
    <w:bookmarkStart w:id="24" w:name="externalization-of-hidden-structure"/>
    <w:p>
      <w:pPr>
        <w:pStyle w:val="Heading2"/>
      </w:pPr>
      <w:r>
        <w:t xml:space="preserve">Externalization of Hidden Structure</w:t>
      </w:r>
    </w:p>
    <w:p>
      <w:pPr>
        <w:pStyle w:val="FirstParagraph"/>
      </w:pPr>
      <w:r>
        <w:t xml:space="preserve">A second design principle is externalization. Religious reasoning often appears</w:t>
      </w:r>
      <w:r>
        <w:t xml:space="preserve"> </w:t>
      </w:r>
      <w:r>
        <w:t xml:space="preserve">stronger than it is because many of its most important components remain tacit.</w:t>
      </w:r>
      <w:r>
        <w:t xml:space="preserve"> </w:t>
      </w:r>
      <w:r>
        <w:t xml:space="preserve">This includes prior probabilities, analogical expectations, assumptions about</w:t>
      </w:r>
      <w:r>
        <w:t xml:space="preserve"> </w:t>
      </w:r>
      <w:r>
        <w:t xml:space="preserve">testimony, notions of divine intention, standards for miracle claims, escape</w:t>
      </w:r>
      <w:r>
        <w:t xml:space="preserve"> </w:t>
      </w:r>
      <w:r>
        <w:t xml:space="preserve">hatches for failed promises, and background moral intuitions. When these</w:t>
      </w:r>
      <w:r>
        <w:t xml:space="preserve"> </w:t>
      </w:r>
      <w:r>
        <w:t xml:space="preserve">components remain implicit, a conclusion can feel well grounded because the user</w:t>
      </w:r>
      <w:r>
        <w:t xml:space="preserve"> </w:t>
      </w:r>
      <w:r>
        <w:t xml:space="preserve">is unconsciously supplying all missing pieces in a favorable direction. An</w:t>
      </w:r>
      <w:r>
        <w:t xml:space="preserve"> </w:t>
      </w:r>
      <w:r>
        <w:t xml:space="preserve">interactive audit counters this by forcing the user to make choices, assign</w:t>
      </w:r>
      <w:r>
        <w:t xml:space="preserve"> </w:t>
      </w:r>
      <w:r>
        <w:t xml:space="preserve">weights, state thresholds, and expose which assumptions are performing the work.</w:t>
      </w:r>
    </w:p>
    <w:p>
      <w:pPr>
        <w:pStyle w:val="BodyText"/>
      </w:pPr>
      <w:r>
        <w:t xml:space="preserve">This externalizing function is central to why the project uses tools rather than</w:t>
      </w:r>
      <w:r>
        <w:t xml:space="preserve"> </w:t>
      </w:r>
      <w:r>
        <w:t xml:space="preserve">essays alone. An essay can warn readers not to special-plead or overgeneralize,</w:t>
      </w:r>
      <w:r>
        <w:t xml:space="preserve"> </w:t>
      </w:r>
      <w:r>
        <w:t xml:space="preserve">but it often leaves them free to imagine that the warning applies elsewhere. A</w:t>
      </w:r>
      <w:r>
        <w:t xml:space="preserve"> </w:t>
      </w:r>
      <w:r>
        <w:t xml:space="preserve">tool is less permissive. It requires a user to locate the claim, define the</w:t>
      </w:r>
      <w:r>
        <w:t xml:space="preserve"> </w:t>
      </w:r>
      <w:r>
        <w:t xml:space="preserve">comparison, choose the bridge, indicate the control, or specify the correction</w:t>
      </w:r>
      <w:r>
        <w:t xml:space="preserve"> </w:t>
      </w:r>
      <w:r>
        <w:t xml:space="preserve">condition. The output then becomes discussable precisely because the hidden</w:t>
      </w:r>
      <w:r>
        <w:t xml:space="preserve"> </w:t>
      </w:r>
      <w:r>
        <w:t xml:space="preserve">structure has been surfaced. In this sense, Crosshairs is not just an argument</w:t>
      </w:r>
      <w:r>
        <w:t xml:space="preserve"> </w:t>
      </w:r>
      <w:r>
        <w:t xml:space="preserve">against bad reasoning. It is an interface for making reasoning inspectable.</w:t>
      </w:r>
    </w:p>
    <w:bookmarkEnd w:id="24"/>
    <w:bookmarkStart w:id="25" w:name="X96e9e298327c6e7a1724cf61aff23fef1376ed6"/>
    <w:p>
      <w:pPr>
        <w:pStyle w:val="Heading2"/>
      </w:pPr>
      <w:r>
        <w:t xml:space="preserve">Symmetry as an Anti-Special-Pleading Norm</w:t>
      </w:r>
    </w:p>
    <w:p>
      <w:pPr>
        <w:pStyle w:val="FirstParagraph"/>
      </w:pPr>
      <w:r>
        <w:t xml:space="preserve">A third principle is symmetry. Apologetic reasoning is especially vulnerable to</w:t>
      </w:r>
      <w:r>
        <w:t xml:space="preserve"> </w:t>
      </w:r>
      <w:r>
        <w:t xml:space="preserve">asymmetric treatment of evidence because favored conclusions are often granted</w:t>
      </w:r>
      <w:r>
        <w:t xml:space="preserve"> </w:t>
      </w:r>
      <w:r>
        <w:t xml:space="preserve">interpretive charity that rival conclusions are denied. The same testimonial</w:t>
      </w:r>
      <w:r>
        <w:t xml:space="preserve"> </w:t>
      </w:r>
      <w:r>
        <w:t xml:space="preserve">pattern may be treated as compelling in one setting and laughable in another.</w:t>
      </w:r>
      <w:r>
        <w:t xml:space="preserve"> </w:t>
      </w:r>
      <w:r>
        <w:t xml:space="preserve">The same appeal to cumulative case reasoning may be welcomed when it points</w:t>
      </w:r>
      <w:r>
        <w:t xml:space="preserve"> </w:t>
      </w:r>
      <w:r>
        <w:t xml:space="preserve">toward Christianity and rejected when it supports a rival religion. The same</w:t>
      </w:r>
      <w:r>
        <w:t xml:space="preserve"> </w:t>
      </w:r>
      <w:r>
        <w:t xml:space="preserve">level of ambiguity may be tolerated when it preserves a preferred belief and</w:t>
      </w:r>
      <w:r>
        <w:t xml:space="preserve"> </w:t>
      </w:r>
      <w:r>
        <w:t xml:space="preserve">condemned when it threatens it. Crosshairs therefore repeatedly inserts</w:t>
      </w:r>
      <w:r>
        <w:t xml:space="preserve"> </w:t>
      </w:r>
      <w:r>
        <w:t xml:space="preserve">comparison cases and lane-based mappings that ask not merely,</w:t>
      </w:r>
      <w:r>
        <w:t xml:space="preserve"> </w:t>
      </w:r>
      <w:r>
        <w:t xml:space="preserve">“Is this claim</w:t>
      </w:r>
      <w:r>
        <w:t xml:space="preserve"> </w:t>
      </w:r>
      <w:r>
        <w:t xml:space="preserve">supported?”</w:t>
      </w:r>
      <w:r>
        <w:t xml:space="preserve"> </w:t>
      </w:r>
      <w:r>
        <w:t xml:space="preserve">but also,</w:t>
      </w:r>
      <w:r>
        <w:t xml:space="preserve"> </w:t>
      </w:r>
      <w:r>
        <w:t xml:space="preserve">“Would this standard still look acceptable if the</w:t>
      </w:r>
      <w:r>
        <w:t xml:space="preserve"> </w:t>
      </w:r>
      <w:r>
        <w:t xml:space="preserve">emotional direction changed?”</w:t>
      </w:r>
    </w:p>
    <w:p>
      <w:pPr>
        <w:pStyle w:val="BodyText"/>
      </w:pPr>
      <w:r>
        <w:t xml:space="preserve">This symmetry norm does not assume that all religions, miracles, or moral</w:t>
      </w:r>
      <w:r>
        <w:t xml:space="preserve"> </w:t>
      </w:r>
      <w:r>
        <w:t xml:space="preserve">systems are equal. It assumes something more modest and more methodologically</w:t>
      </w:r>
      <w:r>
        <w:t xml:space="preserve"> </w:t>
      </w:r>
      <w:r>
        <w:t xml:space="preserve">important: that public reasoning should be capable of surviving role reversal.</w:t>
      </w:r>
      <w:r>
        <w:t xml:space="preserve"> </w:t>
      </w:r>
      <w:r>
        <w:t xml:space="preserve">If a justification works only when one conclusion is emotionally privileged,</w:t>
      </w:r>
      <w:r>
        <w:t xml:space="preserve"> </w:t>
      </w:r>
      <w:r>
        <w:t xml:space="preserve">then the user has learned something important about the method’s instability.</w:t>
      </w:r>
      <w:r>
        <w:t xml:space="preserve"> </w:t>
      </w:r>
      <w:r>
        <w:t xml:space="preserve">Several tools in the suite use this norm as a structural hinge because symmetry</w:t>
      </w:r>
      <w:r>
        <w:t xml:space="preserve"> </w:t>
      </w:r>
      <w:r>
        <w:t xml:space="preserve">checks often reveal hidden double standards more efficiently than direct debate</w:t>
      </w:r>
      <w:r>
        <w:t xml:space="preserve"> </w:t>
      </w:r>
      <w:r>
        <w:t xml:space="preserve">over a single favored case.</w:t>
      </w:r>
    </w:p>
    <w:bookmarkEnd w:id="25"/>
    <w:bookmarkStart w:id="26" w:name="public-vulnerability-to-correction"/>
    <w:p>
      <w:pPr>
        <w:pStyle w:val="Heading2"/>
      </w:pPr>
      <w:r>
        <w:t xml:space="preserve">Public Vulnerability to Correction</w:t>
      </w:r>
    </w:p>
    <w:p>
      <w:pPr>
        <w:pStyle w:val="FirstParagraph"/>
      </w:pPr>
      <w:r>
        <w:t xml:space="preserve">Another governing principle is that claims offered as public evidence should</w:t>
      </w:r>
      <w:r>
        <w:t xml:space="preserve"> </w:t>
      </w:r>
      <w:r>
        <w:t xml:space="preserve">remain publicly vulnerable to loss. Religious belief often includes elements of</w:t>
      </w:r>
      <w:r>
        <w:t xml:space="preserve"> </w:t>
      </w:r>
      <w:r>
        <w:t xml:space="preserve">private interpretation, existential meaning, devotion, and communal identity.</w:t>
      </w:r>
      <w:r>
        <w:t xml:space="preserve"> </w:t>
      </w:r>
      <w:r>
        <w:t xml:space="preserve">The suite does not deny that those elements matter. It does insist, however,</w:t>
      </w:r>
      <w:r>
        <w:t xml:space="preserve"> </w:t>
      </w:r>
      <w:r>
        <w:t xml:space="preserve">that once a claim is advanced as publicly relevant evidence, it incurs burdens</w:t>
      </w:r>
      <w:r>
        <w:t xml:space="preserve"> </w:t>
      </w:r>
      <w:r>
        <w:t xml:space="preserve">that private meaning alone cannot discharge. A promise claim, miracle claim, or</w:t>
      </w:r>
      <w:r>
        <w:t xml:space="preserve"> </w:t>
      </w:r>
      <w:r>
        <w:t xml:space="preserve">historical inference must therefore clarify what would count against it and</w:t>
      </w:r>
      <w:r>
        <w:t xml:space="preserve"> </w:t>
      </w:r>
      <w:r>
        <w:t xml:space="preserve">whether the user is genuinely willing to let such outcomes matter. When the</w:t>
      </w:r>
      <w:r>
        <w:t xml:space="preserve"> </w:t>
      </w:r>
      <w:r>
        <w:t xml:space="preserve">claim is padded with enough post hoc qualifications to survive any failure, its</w:t>
      </w:r>
      <w:r>
        <w:t xml:space="preserve"> </w:t>
      </w:r>
      <w:r>
        <w:t xml:space="preserve">status has shifted from evidence-bearing assertion toward insulated</w:t>
      </w:r>
      <w:r>
        <w:t xml:space="preserve"> </w:t>
      </w:r>
      <w:r>
        <w:t xml:space="preserve">interpretation.</w:t>
      </w:r>
    </w:p>
    <w:p>
      <w:pPr>
        <w:pStyle w:val="BodyText"/>
      </w:pPr>
      <w:r>
        <w:t xml:space="preserve">This principle is especially important because many apologetic disputes are not</w:t>
      </w:r>
      <w:r>
        <w:t xml:space="preserve"> </w:t>
      </w:r>
      <w:r>
        <w:t xml:space="preserve">about whether a believer may find a claim meaningful. They are about whether the</w:t>
      </w:r>
      <w:r>
        <w:t xml:space="preserve"> </w:t>
      </w:r>
      <w:r>
        <w:t xml:space="preserve">claim is being advertised as evidence while simultaneously protected from the</w:t>
      </w:r>
      <w:r>
        <w:t xml:space="preserve"> </w:t>
      </w:r>
      <w:r>
        <w:t xml:space="preserve">ordinary consequences of evidential defeat. Crosshairs tries to keep those</w:t>
      </w:r>
      <w:r>
        <w:t xml:space="preserve"> </w:t>
      </w:r>
      <w:r>
        <w:t xml:space="preserve">categories separate. The point is not to ban all nonpublic belief. The point is</w:t>
      </w:r>
      <w:r>
        <w:t xml:space="preserve"> </w:t>
      </w:r>
      <w:r>
        <w:t xml:space="preserve">to stop private resilience from masquerading as public substantiation.</w:t>
      </w:r>
    </w:p>
    <w:bookmarkEnd w:id="26"/>
    <w:bookmarkStart w:id="27" w:name="Xad4455df57118be322ba5bb95ac2dfa88775a55"/>
    <w:p>
      <w:pPr>
        <w:pStyle w:val="Heading2"/>
      </w:pPr>
      <w:r>
        <w:t xml:space="preserve">Moral Architecture Before Moral Certainty</w:t>
      </w:r>
    </w:p>
    <w:p>
      <w:pPr>
        <w:pStyle w:val="FirstParagraph"/>
      </w:pPr>
      <w:r>
        <w:t xml:space="preserve">The morality pathway adds a further design thesis: strong moral conclusions</w:t>
      </w:r>
      <w:r>
        <w:t xml:space="preserve"> </w:t>
      </w:r>
      <w:r>
        <w:t xml:space="preserve">often arrive before the user has articulated a complete moral system. Religious</w:t>
      </w:r>
      <w:r>
        <w:t xml:space="preserve"> </w:t>
      </w:r>
      <w:r>
        <w:t xml:space="preserve">apologetics frequently appeals to moral outrage, moral intuition, or moral</w:t>
      </w:r>
      <w:r>
        <w:t xml:space="preserve"> </w:t>
      </w:r>
      <w:r>
        <w:t xml:space="preserve">realism as though these immediately support a Christian framework. Yet moral</w:t>
      </w:r>
      <w:r>
        <w:t xml:space="preserve"> </w:t>
      </w:r>
      <w:r>
        <w:t xml:space="preserve">judgment depends on more than bare conviction. It requires some account of truth</w:t>
      </w:r>
      <w:r>
        <w:t xml:space="preserve"> </w:t>
      </w:r>
      <w:r>
        <w:t xml:space="preserve">makers, authority, access, consistency, adjudication, and application across</w:t>
      </w:r>
      <w:r>
        <w:t xml:space="preserve"> </w:t>
      </w:r>
      <w:r>
        <w:t xml:space="preserve">cases. If these structural elements are missing or unstable, then the user’s</w:t>
      </w:r>
      <w:r>
        <w:t xml:space="preserve"> </w:t>
      </w:r>
      <w:r>
        <w:t xml:space="preserve">moral certainty may outrun the system that is supposed to underwrite it. The</w:t>
      </w:r>
      <w:r>
        <w:t xml:space="preserve"> </w:t>
      </w:r>
      <w:r>
        <w:t xml:space="preserve">morality tools therefore refuse to treat isolated moral confidence as enough.</w:t>
      </w:r>
      <w:r>
        <w:t xml:space="preserve"> </w:t>
      </w:r>
      <w:r>
        <w:t xml:space="preserve">They ask first whether a moral architecture exists, then whether it survives</w:t>
      </w:r>
      <w:r>
        <w:t xml:space="preserve"> </w:t>
      </w:r>
      <w:r>
        <w:t xml:space="preserve">stress, and then whether it behaves consistently across concrete particulars.</w:t>
      </w:r>
    </w:p>
    <w:p>
      <w:pPr>
        <w:pStyle w:val="BodyText"/>
      </w:pPr>
      <w:r>
        <w:t xml:space="preserve">This sequence matters because moral argument often functions as a high-leverage</w:t>
      </w:r>
      <w:r>
        <w:t xml:space="preserve"> </w:t>
      </w:r>
      <w:r>
        <w:t xml:space="preserve">entry point in apologetics. If the architecture beneath it is underspecified,</w:t>
      </w:r>
      <w:r>
        <w:t xml:space="preserve"> </w:t>
      </w:r>
      <w:r>
        <w:t xml:space="preserve">then the debate is being conducted at the wrong level. The relevant question is</w:t>
      </w:r>
      <w:r>
        <w:t xml:space="preserve"> </w:t>
      </w:r>
      <w:r>
        <w:t xml:space="preserve">not merely whether a given act seems right or wrong. It is whether the claimed</w:t>
      </w:r>
      <w:r>
        <w:t xml:space="preserve"> </w:t>
      </w:r>
      <w:r>
        <w:t xml:space="preserve">source of moral truth can carry the weight later placed upon it.</w:t>
      </w:r>
    </w:p>
    <w:bookmarkEnd w:id="27"/>
    <w:bookmarkStart w:id="28" w:name="X62e21d38c7d85952f3651123bd71317734fcbaf"/>
    <w:p>
      <w:pPr>
        <w:pStyle w:val="Heading2"/>
      </w:pPr>
      <w:r>
        <w:t xml:space="preserve">Thin Conclusions and the Problem of Theological Thickening</w:t>
      </w:r>
    </w:p>
    <w:p>
      <w:pPr>
        <w:pStyle w:val="FirstParagraph"/>
      </w:pPr>
      <w:r>
        <w:t xml:space="preserve">The final design principle concerns inferential thickening. Even when a religious</w:t>
      </w:r>
      <w:r>
        <w:t xml:space="preserve"> </w:t>
      </w:r>
      <w:r>
        <w:t xml:space="preserve">argument yields some limited support, that support is often silently expanded</w:t>
      </w:r>
      <w:r>
        <w:t xml:space="preserve"> </w:t>
      </w:r>
      <w:r>
        <w:t xml:space="preserve">into a much stronger conclusion. A weakly purposive universe becomes a personal</w:t>
      </w:r>
      <w:r>
        <w:t xml:space="preserve"> </w:t>
      </w:r>
      <w:r>
        <w:t xml:space="preserve">designer. A designer becomes a morally concerned deity. A deity becomes the God</w:t>
      </w:r>
      <w:r>
        <w:t xml:space="preserve"> </w:t>
      </w:r>
      <w:r>
        <w:t xml:space="preserve">of Christian scripture. A historically interesting set of resurrection claims</w:t>
      </w:r>
      <w:r>
        <w:t xml:space="preserve"> </w:t>
      </w:r>
      <w:r>
        <w:t xml:space="preserve">becomes assurance of the entire doctrinal package. Crosshairs attempts to slow</w:t>
      </w:r>
      <w:r>
        <w:t xml:space="preserve"> </w:t>
      </w:r>
      <w:r>
        <w:t xml:space="preserve">this slide by auditing the bridges between layers of conclusion. It treats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“Does this support some purposive inference?”</w:t>
      </w:r>
      <w:r>
        <w:t xml:space="preserve"> </w:t>
      </w:r>
      <w:r>
        <w:t xml:space="preserve">as distinct from</w:t>
      </w:r>
      <w:r>
        <w:t xml:space="preserve"> </w:t>
      </w:r>
      <w:r>
        <w:t xml:space="preserve">“Does</w:t>
      </w:r>
      <w:r>
        <w:t xml:space="preserve"> </w:t>
      </w:r>
      <w:r>
        <w:t xml:space="preserve">this support Christian theism?”</w:t>
      </w:r>
      <w:r>
        <w:t xml:space="preserve"> </w:t>
      </w:r>
      <w:r>
        <w:t xml:space="preserve">and again distinct from</w:t>
      </w:r>
      <w:r>
        <w:t xml:space="preserve"> </w:t>
      </w:r>
      <w:r>
        <w:t xml:space="preserve">“Does this support the</w:t>
      </w:r>
      <w:r>
        <w:t xml:space="preserve"> </w:t>
      </w:r>
      <w:r>
        <w:t xml:space="preserve">full practical confidence often attached to Christian claims?”</w:t>
      </w:r>
    </w:p>
    <w:p>
      <w:pPr>
        <w:pStyle w:val="BodyText"/>
      </w:pPr>
      <w:r>
        <w:t xml:space="preserve">This anti-thickening discipline is central to the phrase</w:t>
      </w:r>
      <w:r>
        <w:t xml:space="preserve"> </w:t>
      </w:r>
      <w:r>
        <w:t xml:space="preserve">“defensible belief”</w:t>
      </w:r>
      <w:r>
        <w:t xml:space="preserve"> </w:t>
      </w:r>
      <w:r>
        <w:t xml:space="preserve">in</w:t>
      </w:r>
      <w:r>
        <w:t xml:space="preserve"> </w:t>
      </w:r>
      <w:r>
        <w:t xml:space="preserve">the paper’s title. A belief becomes more defensible not only when it becomes</w:t>
      </w:r>
      <w:r>
        <w:t xml:space="preserve"> </w:t>
      </w:r>
      <w:r>
        <w:t xml:space="preserve">more supported, but also when it becomes more proportioned. Sometimes the most</w:t>
      </w:r>
      <w:r>
        <w:t xml:space="preserve"> </w:t>
      </w:r>
      <w:r>
        <w:t xml:space="preserve">intellectually responsible outcome is not disbelief simpliciter, but a thinner</w:t>
      </w:r>
      <w:r>
        <w:t xml:space="preserve"> </w:t>
      </w:r>
      <w:r>
        <w:t xml:space="preserve">claim, a narrower conclusion, a lowered confidence rating, or a more candid</w:t>
      </w:r>
      <w:r>
        <w:t xml:space="preserve"> </w:t>
      </w:r>
      <w:r>
        <w:t xml:space="preserve">partition between private meaning and public evidence.</w:t>
      </w:r>
    </w:p>
    <w:bookmarkEnd w:id="28"/>
    <w:bookmarkEnd w:id="29"/>
    <w:bookmarkStart w:id="42" w:name="X2dde7d5e8203497ccae0aa932ef5f163a19404f"/>
    <w:p>
      <w:pPr>
        <w:pStyle w:val="Heading1"/>
      </w:pPr>
      <w:r>
        <w:t xml:space="preserve">The Pedagogical Pathway Across the Nine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thway-schematic"/>
          <w:p>
            <w:pPr>
              <w:pStyle w:val="Compact"/>
              <w:jc w:val="center"/>
            </w:pPr>
            <w:r>
              <w:drawing>
                <wp:inline>
                  <wp:extent cx="5334000" cy="97178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assets/pathway-schematic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1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nine-tool pathway groups the suite into calibration, public-claim auditing, moral architecture, and theological bridge control.</w:t>
            </w:r>
          </w:p>
          <w:bookmarkEnd w:id="33"/>
        </w:tc>
      </w:tr>
    </w:tbl>
    <w:bookmarkStart w:id="34" w:name="stage-one-belief-overreach-audit"/>
    <w:p>
      <w:pPr>
        <w:pStyle w:val="Heading2"/>
      </w:pPr>
      <w:r>
        <w:t xml:space="preserve">Stage One: Belief Overreach Audit</w:t>
      </w:r>
    </w:p>
    <w:p>
      <w:pPr>
        <w:pStyle w:val="FirstParagraph"/>
      </w:pPr>
      <w:r>
        <w:t xml:space="preserve">The suite opens with the Belief Overreach Audit because it teaches the grammar</w:t>
      </w:r>
      <w:r>
        <w:t xml:space="preserve"> </w:t>
      </w:r>
      <w:r>
        <w:t xml:space="preserve">of the entire project. Users are introduced to the possibility that confidence</w:t>
      </w:r>
      <w:r>
        <w:t xml:space="preserve"> </w:t>
      </w:r>
      <w:r>
        <w:t xml:space="preserve">can outstrip what they themselves take the support to be, and that such</w:t>
      </w:r>
      <w:r>
        <w:t xml:space="preserve"> </w:t>
      </w:r>
      <w:r>
        <w:t xml:space="preserve">overreach is not a merely verbal mistake but one with practical consequences.</w:t>
      </w:r>
      <w:r>
        <w:t xml:space="preserve"> </w:t>
      </w:r>
      <w:r>
        <w:t xml:space="preserve">This first stage matters because later theological disagreements often remain</w:t>
      </w:r>
      <w:r>
        <w:t xml:space="preserve"> </w:t>
      </w:r>
      <w:r>
        <w:t xml:space="preserve">stuck until participants see that the issue is not only what they believe, but</w:t>
      </w:r>
      <w:r>
        <w:t xml:space="preserve"> </w:t>
      </w:r>
      <w:r>
        <w:t xml:space="preserve">how far beyond available support they are willing to extend that belief. By</w:t>
      </w:r>
      <w:r>
        <w:t xml:space="preserve"> </w:t>
      </w:r>
      <w:r>
        <w:t xml:space="preserve">placing this lesson in a broader decision-theoretic setting, the tool lowers</w:t>
      </w:r>
      <w:r>
        <w:t xml:space="preserve"> </w:t>
      </w:r>
      <w:r>
        <w:t xml:space="preserve">identity threat while preserving conceptual sharpness.</w:t>
      </w:r>
    </w:p>
    <w:bookmarkEnd w:id="34"/>
    <w:bookmarkStart w:id="35" w:name="stage-two-earthly-promise-test-field"/>
    <w:p>
      <w:pPr>
        <w:pStyle w:val="Heading2"/>
      </w:pPr>
      <w:r>
        <w:t xml:space="preserve">Stage Two: Earthly Promise Test Field</w:t>
      </w:r>
    </w:p>
    <w:p>
      <w:pPr>
        <w:pStyle w:val="FirstParagraph"/>
      </w:pPr>
      <w:r>
        <w:t xml:space="preserve">Once users can distinguish confidence from support at a general level, the next</w:t>
      </w:r>
      <w:r>
        <w:t xml:space="preserve"> </w:t>
      </w:r>
      <w:r>
        <w:t xml:space="preserve">question is whether ordinary religious claims remain genuinely open to worldly</w:t>
      </w:r>
      <w:r>
        <w:t xml:space="preserve"> </w:t>
      </w:r>
      <w:r>
        <w:t xml:space="preserve">verification. The Earthly Promise Test Field is pedagogically important because</w:t>
      </w:r>
      <w:r>
        <w:t xml:space="preserve"> </w:t>
      </w:r>
      <w:r>
        <w:t xml:space="preserve">it deals with claims that are often existentially vivid but conceptually loose:</w:t>
      </w:r>
      <w:r>
        <w:t xml:space="preserve"> </w:t>
      </w:r>
      <w:r>
        <w:t xml:space="preserve">prayer outcomes, healing, protection, guidance, wisdom, and similar promises.</w:t>
      </w:r>
      <w:r>
        <w:t xml:space="preserve"> </w:t>
      </w:r>
      <w:r>
        <w:t xml:space="preserve">The tool asks whether these claims specify what success and failure would look</w:t>
      </w:r>
      <w:r>
        <w:t xml:space="preserve"> </w:t>
      </w:r>
      <w:r>
        <w:t xml:space="preserve">like, whether ordinary controls are accepted, and whether excuse structures</w:t>
      </w:r>
      <w:r>
        <w:t xml:space="preserve"> </w:t>
      </w:r>
      <w:r>
        <w:t xml:space="preserve">protect the claim from clean loss. This stage teaches that a claim may feel</w:t>
      </w:r>
      <w:r>
        <w:t xml:space="preserve"> </w:t>
      </w:r>
      <w:r>
        <w:t xml:space="preserve">deeply real while still being methodologically insulated.</w:t>
      </w:r>
    </w:p>
    <w:bookmarkEnd w:id="35"/>
    <w:bookmarkStart w:id="36" w:name="stage-three-inductive-symmetry-audit"/>
    <w:p>
      <w:pPr>
        <w:pStyle w:val="Heading2"/>
      </w:pPr>
      <w:r>
        <w:t xml:space="preserve">Stage Three: Inductive Symmetry Audit</w:t>
      </w:r>
    </w:p>
    <w:p>
      <w:pPr>
        <w:pStyle w:val="FirstParagraph"/>
      </w:pPr>
      <w:r>
        <w:t xml:space="preserve">The symmetry audit shifts attention from isolated claims to comparative</w:t>
      </w:r>
      <w:r>
        <w:t xml:space="preserve"> </w:t>
      </w:r>
      <w:r>
        <w:t xml:space="preserve">reasoning. Its value is pedagogical as much as diagnostic. Once users must</w:t>
      </w:r>
      <w:r>
        <w:t xml:space="preserve"> </w:t>
      </w:r>
      <w:r>
        <w:t xml:space="preserve">compare parallel patterns across favored and disfavored cases, special pleading</w:t>
      </w:r>
      <w:r>
        <w:t xml:space="preserve"> </w:t>
      </w:r>
      <w:r>
        <w:t xml:space="preserve">becomes harder to sustain as a tacit habit. The tool therefore serves as a</w:t>
      </w:r>
      <w:r>
        <w:t xml:space="preserve"> </w:t>
      </w:r>
      <w:r>
        <w:t xml:space="preserve">mid-sequence bridge between local claim inspection and higher-order worldview</w:t>
      </w:r>
      <w:r>
        <w:t xml:space="preserve"> </w:t>
      </w:r>
      <w:r>
        <w:t xml:space="preserve">discipline. It helps users see that the real issue is often not simply whether</w:t>
      </w:r>
      <w:r>
        <w:t xml:space="preserve"> </w:t>
      </w:r>
      <w:r>
        <w:t xml:space="preserve">one case has weaknesses, but whether standards remain stable when the conclusion</w:t>
      </w:r>
      <w:r>
        <w:t xml:space="preserve"> </w:t>
      </w:r>
      <w:r>
        <w:t xml:space="preserve">becomes threatening.</w:t>
      </w:r>
    </w:p>
    <w:bookmarkEnd w:id="36"/>
    <w:bookmarkStart w:id="37" w:name="stage-four-resurrection-evidence-audit"/>
    <w:p>
      <w:pPr>
        <w:pStyle w:val="Heading2"/>
      </w:pPr>
      <w:r>
        <w:t xml:space="preserve">Stage Four: Resurrection Evidence Audit</w:t>
      </w:r>
    </w:p>
    <w:p>
      <w:pPr>
        <w:pStyle w:val="FirstParagraph"/>
      </w:pPr>
      <w:r>
        <w:t xml:space="preserve">The resurrection tool occupies a different place in the sequence because it</w:t>
      </w:r>
      <w:r>
        <w:t xml:space="preserve"> </w:t>
      </w:r>
      <w:r>
        <w:t xml:space="preserve">forces explicit accounting. Here the user is asked to name priors, estimate</w:t>
      </w:r>
      <w:r>
        <w:t xml:space="preserve"> </w:t>
      </w:r>
      <w:r>
        <w:t xml:space="preserve">likelihoods, weigh dependence, and consider alternatives. The pedagogical point</w:t>
      </w:r>
      <w:r>
        <w:t xml:space="preserve"> </w:t>
      </w:r>
      <w:r>
        <w:t xml:space="preserve">is not that ordinary believers should become professional Bayesians. It is that</w:t>
      </w:r>
      <w:r>
        <w:t xml:space="preserve"> </w:t>
      </w:r>
      <w:r>
        <w:t xml:space="preserve">miracle claims should not receive immunity from the demand that inferential</w:t>
      </w:r>
      <w:r>
        <w:t xml:space="preserve"> </w:t>
      </w:r>
      <w:r>
        <w:t xml:space="preserve">structure be made visible. By converting a rhetorically powerful topic into a</w:t>
      </w:r>
      <w:r>
        <w:t xml:space="preserve"> </w:t>
      </w:r>
      <w:r>
        <w:t xml:space="preserve">transparent evidential map, the tool teaches a lesson likely to generalize: the</w:t>
      </w:r>
      <w:r>
        <w:t xml:space="preserve"> </w:t>
      </w:r>
      <w:r>
        <w:t xml:space="preserve">strength of a religious conclusion depends not only on the emotional resonance</w:t>
      </w:r>
      <w:r>
        <w:t xml:space="preserve"> </w:t>
      </w:r>
      <w:r>
        <w:t xml:space="preserve">of the claim but on the explicit structure of the route by which it is reached.</w:t>
      </w:r>
    </w:p>
    <w:bookmarkEnd w:id="37"/>
    <w:bookmarkStart w:id="38" w:name="Xdf25d849ff781df81bb162175106a46dbe4739f"/>
    <w:p>
      <w:pPr>
        <w:pStyle w:val="Heading2"/>
      </w:pPr>
      <w:r>
        <w:t xml:space="preserve">Stage Five: Moral System Threshold, Stress Test, and Particulars Audit</w:t>
      </w:r>
    </w:p>
    <w:p>
      <w:pPr>
        <w:pStyle w:val="FirstParagraph"/>
      </w:pPr>
      <w:r>
        <w:t xml:space="preserve">The morality pathway is deliberately sequenced internally. Moral System</w:t>
      </w:r>
      <w:r>
        <w:t xml:space="preserve"> </w:t>
      </w:r>
      <w:r>
        <w:t xml:space="preserve">Threshold asks whether the user has even specified enough of a moral framework</w:t>
      </w:r>
      <w:r>
        <w:t xml:space="preserve"> </w:t>
      </w:r>
      <w:r>
        <w:t xml:space="preserve">to support strong truth claims. Moral System Stress Test then examines how that</w:t>
      </w:r>
      <w:r>
        <w:t xml:space="preserve"> </w:t>
      </w:r>
      <w:r>
        <w:t xml:space="preserve">framework behaves under pressure, including questions of authority, consistency,</w:t>
      </w:r>
      <w:r>
        <w:t xml:space="preserve"> </w:t>
      </w:r>
      <w:r>
        <w:t xml:space="preserve">substantiation, and source reliance. Moral Particulars Audit finally descends</w:t>
      </w:r>
      <w:r>
        <w:t xml:space="preserve"> </w:t>
      </w:r>
      <w:r>
        <w:t xml:space="preserve">into concrete cases, where many apparently strong systems reveal either</w:t>
      </w:r>
      <w:r>
        <w:t xml:space="preserve"> </w:t>
      </w:r>
      <w:r>
        <w:t xml:space="preserve">selective application or concentrated dependence on only a few unstable</w:t>
      </w:r>
      <w:r>
        <w:t xml:space="preserve"> </w:t>
      </w:r>
      <w:r>
        <w:t xml:space="preserve">grounders. Taken together, these tools embody the paper’s claim that moral</w:t>
      </w:r>
      <w:r>
        <w:t xml:space="preserve"> </w:t>
      </w:r>
      <w:r>
        <w:t xml:space="preserve">certainty should not outrun moral architecture.</w:t>
      </w:r>
    </w:p>
    <w:bookmarkEnd w:id="38"/>
    <w:bookmarkStart w:id="39" w:name="X31c83aba6bebcee998d63d5a7c4be00ad3aa238"/>
    <w:p>
      <w:pPr>
        <w:pStyle w:val="Heading2"/>
      </w:pPr>
      <w:r>
        <w:t xml:space="preserve">Stage Six: Fine-Tuning Bridge Audit and Deism-Theism Gradient Audit</w:t>
      </w:r>
    </w:p>
    <w:p>
      <w:pPr>
        <w:pStyle w:val="FirstParagraph"/>
      </w:pPr>
      <w:r>
        <w:t xml:space="preserve">The final pair addresses apologetic thickening directly. Fine-Tuning Bridge</w:t>
      </w:r>
      <w:r>
        <w:t xml:space="preserve"> </w:t>
      </w:r>
      <w:r>
        <w:t xml:space="preserve">Audit asks whether the move from cosmic fine-tuning to design, life-purpose,</w:t>
      </w:r>
      <w:r>
        <w:t xml:space="preserve"> </w:t>
      </w:r>
      <w:r>
        <w:t xml:space="preserve">human-purpose, or theism is doing more work than the starting point can</w:t>
      </w:r>
      <w:r>
        <w:t xml:space="preserve"> </w:t>
      </w:r>
      <w:r>
        <w:t xml:space="preserve">reasonably support. Deism-Theism Gradient Audit then widens the frame by mapping</w:t>
      </w:r>
      <w:r>
        <w:t xml:space="preserve"> </w:t>
      </w:r>
      <w:r>
        <w:t xml:space="preserve">how users distribute confidence across a spectrum from minimal purposive order</w:t>
      </w:r>
      <w:r>
        <w:t xml:space="preserve"> </w:t>
      </w:r>
      <w:r>
        <w:t xml:space="preserve">to thick Christian claims. Pedagogically, these tools function as culmination</w:t>
      </w:r>
      <w:r>
        <w:t xml:space="preserve"> </w:t>
      </w:r>
      <w:r>
        <w:t xml:space="preserve">devices. They assume that the user has already encountered calibration,</w:t>
      </w:r>
      <w:r>
        <w:t xml:space="preserve"> </w:t>
      </w:r>
      <w:r>
        <w:t xml:space="preserve">testability, symmetry, explicit accounting, and moral architecture. The aim is</w:t>
      </w:r>
      <w:r>
        <w:t xml:space="preserve"> </w:t>
      </w:r>
      <w:r>
        <w:t xml:space="preserve">to bring those lessons to bear on the recurrent apologetic habit of sliding from</w:t>
      </w:r>
      <w:r>
        <w:t xml:space="preserve"> </w:t>
      </w:r>
      <w:r>
        <w:t xml:space="preserve">thin support to thick theology without pausing to inspect each bridge.</w:t>
      </w:r>
    </w:p>
    <w:bookmarkEnd w:id="39"/>
    <w:bookmarkStart w:id="40" w:name="why-the-order-matters"/>
    <w:p>
      <w:pPr>
        <w:pStyle w:val="Heading2"/>
      </w:pPr>
      <w:r>
        <w:t xml:space="preserve">Why the Order Matters</w:t>
      </w:r>
    </w:p>
    <w:p>
      <w:pPr>
        <w:pStyle w:val="FirstParagraph"/>
      </w:pPr>
      <w:r>
        <w:t xml:space="preserve">The suite is therefore not merely a catalog of thematically related resources.</w:t>
      </w:r>
      <w:r>
        <w:t xml:space="preserve"> </w:t>
      </w:r>
      <w:r>
        <w:t xml:space="preserve">Its order is part of its argument. It moves from comparatively low-threat</w:t>
      </w:r>
      <w:r>
        <w:t xml:space="preserve"> </w:t>
      </w:r>
      <w:r>
        <w:t xml:space="preserve">calibration to increasingly identity-relevant domains; from generic reasoning</w:t>
      </w:r>
      <w:r>
        <w:t xml:space="preserve"> </w:t>
      </w:r>
      <w:r>
        <w:t xml:space="preserve">form to explicitly theological content; from public testability to historical</w:t>
      </w:r>
      <w:r>
        <w:t xml:space="preserve"> </w:t>
      </w:r>
      <w:r>
        <w:t xml:space="preserve">claims, then to moral structure, then to metaphysical thickening. This ordering</w:t>
      </w:r>
      <w:r>
        <w:t xml:space="preserve"> </w:t>
      </w:r>
      <w:r>
        <w:t xml:space="preserve">reflects both motivational and conceptual judgments. Motivationally, early</w:t>
      </w:r>
      <w:r>
        <w:t xml:space="preserve"> </w:t>
      </w:r>
      <w:r>
        <w:t xml:space="preserve">success at smaller acts of epistemic honesty lowers the threat of later revision</w:t>
      </w:r>
      <w:r>
        <w:t xml:space="preserve"> </w:t>
      </w:r>
      <w:r>
        <w:t xml:space="preserve">(Pintrich et al. 1993)</w:t>
      </w:r>
      <w:r>
        <w:t xml:space="preserve">. Conceptually, later tools depend on distinctions introduced</w:t>
      </w:r>
      <w:r>
        <w:t xml:space="preserve"> </w:t>
      </w:r>
      <w:r>
        <w:t xml:space="preserve">earlier, especially the differences between confidence and support, between</w:t>
      </w:r>
      <w:r>
        <w:t xml:space="preserve"> </w:t>
      </w:r>
      <w:r>
        <w:t xml:space="preserve">insulated meaning and public evidence, and between thin and thick conclusions.</w:t>
      </w:r>
    </w:p>
    <w:bookmarkEnd w:id="40"/>
    <w:bookmarkStart w:id="41" w:name="illustrative-user-path"/>
    <w:p>
      <w:pPr>
        <w:pStyle w:val="Heading2"/>
      </w:pPr>
      <w:r>
        <w:t xml:space="preserve">Illustrative User Path</w:t>
      </w:r>
    </w:p>
    <w:p>
      <w:pPr>
        <w:pStyle w:val="FirstParagraph"/>
      </w:pPr>
      <w:r>
        <w:t xml:space="preserve">Consider a hypothetical user who begins with high confidence that ordinary</w:t>
      </w:r>
      <w:r>
        <w:t xml:space="preserve"> </w:t>
      </w:r>
      <w:r>
        <w:t xml:space="preserve">answered-prayer stories provide strong public evidence for Christianity. In the</w:t>
      </w:r>
      <w:r>
        <w:t xml:space="preserve"> </w:t>
      </w:r>
      <w:r>
        <w:t xml:space="preserve">Belief Overreach Audit, that user may discover that the confidence assigned to</w:t>
      </w:r>
      <w:r>
        <w:t xml:space="preserve"> </w:t>
      </w:r>
      <w:r>
        <w:t xml:space="preserve">the conclusion significantly exceeds the support the user can actually describe.</w:t>
      </w:r>
      <w:r>
        <w:t xml:space="preserve"> </w:t>
      </w:r>
      <w:r>
        <w:t xml:space="preserve">The tool does not yet force a theological verdict, but it does force a first</w:t>
      </w:r>
      <w:r>
        <w:t xml:space="preserve"> </w:t>
      </w:r>
      <w:r>
        <w:t xml:space="preserve">separation between how certain the claim feels and how much explicit support the</w:t>
      </w:r>
      <w:r>
        <w:t xml:space="preserve"> </w:t>
      </w:r>
      <w:r>
        <w:t xml:space="preserve">user can name for it.</w:t>
      </w:r>
    </w:p>
    <w:p>
      <w:pPr>
        <w:pStyle w:val="BodyText"/>
      </w:pPr>
      <w:r>
        <w:t xml:space="preserve">The same user then enters the Earthly Promise Test Field and discovers that the</w:t>
      </w:r>
      <w:r>
        <w:t xml:space="preserve"> </w:t>
      </w:r>
      <w:r>
        <w:t xml:space="preserve">claim</w:t>
      </w:r>
      <w:r>
        <w:t xml:space="preserve"> </w:t>
      </w:r>
      <w:r>
        <w:t xml:space="preserve">“God answers prayer in publicly visible ways”</w:t>
      </w:r>
      <w:r>
        <w:t xml:space="preserve"> </w:t>
      </w:r>
      <w:r>
        <w:t xml:space="preserve">has not been paired with a</w:t>
      </w:r>
      <w:r>
        <w:t xml:space="preserve"> </w:t>
      </w:r>
      <w:r>
        <w:t xml:space="preserve">clear failure condition. Once controls, counter-cases, and excuse structures are</w:t>
      </w:r>
      <w:r>
        <w:t xml:space="preserve"> </w:t>
      </w:r>
      <w:r>
        <w:t xml:space="preserve">made visible, the claim may need to narrow: perhaps from a public generalization</w:t>
      </w:r>
      <w:r>
        <w:t xml:space="preserve"> </w:t>
      </w:r>
      <w:r>
        <w:t xml:space="preserve">about divine intervention to a more modest statement about private devotional</w:t>
      </w:r>
      <w:r>
        <w:t xml:space="preserve"> </w:t>
      </w:r>
      <w:r>
        <w:t xml:space="preserve">meaning or selectively interpreted experience. At that point the user’s belief</w:t>
      </w:r>
      <w:r>
        <w:t xml:space="preserve"> </w:t>
      </w:r>
      <w:r>
        <w:t xml:space="preserve">need not disappear, but its public evidential role changes.</w:t>
      </w:r>
    </w:p>
    <w:p>
      <w:pPr>
        <w:pStyle w:val="BodyText"/>
      </w:pPr>
      <w:r>
        <w:t xml:space="preserve">If the user next enters the Inductive Symmetry Audit, the question becomes</w:t>
      </w:r>
      <w:r>
        <w:t xml:space="preserve"> </w:t>
      </w:r>
      <w:r>
        <w:t xml:space="preserve">comparative rather than merely introspective: would equally vivid prayer</w:t>
      </w:r>
      <w:r>
        <w:t xml:space="preserve"> </w:t>
      </w:r>
      <w:r>
        <w:t xml:space="preserve">testimony from another tradition be treated with the same generosity? If not,</w:t>
      </w:r>
      <w:r>
        <w:t xml:space="preserve"> </w:t>
      </w:r>
      <w:r>
        <w:t xml:space="preserve">then the issue is no longer only insufficient specification but methodological</w:t>
      </w:r>
      <w:r>
        <w:t xml:space="preserve"> </w:t>
      </w:r>
      <w:r>
        <w:t xml:space="preserve">asymmetry. Across these three tools, the likely outcome is not</w:t>
      </w:r>
      <w:r>
        <w:t xml:space="preserve"> </w:t>
      </w:r>
      <w:r>
        <w:t xml:space="preserve">“Christianity is</w:t>
      </w:r>
      <w:r>
        <w:t xml:space="preserve"> </w:t>
      </w:r>
      <w:r>
        <w:t xml:space="preserve">therefore false.”</w:t>
      </w:r>
      <w:r>
        <w:t xml:space="preserve"> </w:t>
      </w:r>
      <w:r>
        <w:t xml:space="preserve">The more characteristic outcome is that a thick public claim</w:t>
      </w:r>
      <w:r>
        <w:t xml:space="preserve"> </w:t>
      </w:r>
      <w:r>
        <w:t xml:space="preserve">is thinned into a narrower, more accountable, and more honestly described</w:t>
      </w:r>
      <w:r>
        <w:t xml:space="preserve"> </w:t>
      </w:r>
      <w:r>
        <w:t xml:space="preserve">position. That is precisely the kind of revision the suite is designed to</w:t>
      </w:r>
      <w:r>
        <w:t xml:space="preserve"> </w:t>
      </w:r>
      <w:r>
        <w:t xml:space="preserve">cultivate.</w:t>
      </w:r>
    </w:p>
    <w:bookmarkEnd w:id="41"/>
    <w:bookmarkEnd w:id="42"/>
    <w:bookmarkStart w:id="46" w:name="discussion"/>
    <w:p>
      <w:pPr>
        <w:pStyle w:val="Heading1"/>
      </w:pPr>
      <w:r>
        <w:t xml:space="preserve">Discussion</w:t>
      </w:r>
    </w:p>
    <w:bookmarkStart w:id="43" w:name="X46827656ac2642676d9ef43edac280838cf0262"/>
    <w:p>
      <w:pPr>
        <w:pStyle w:val="Heading2"/>
      </w:pPr>
      <w:r>
        <w:t xml:space="preserve">A Constructive Rather Than Merely Debunking Project</w:t>
      </w:r>
    </w:p>
    <w:p>
      <w:pPr>
        <w:pStyle w:val="FirstParagraph"/>
      </w:pPr>
      <w:r>
        <w:t xml:space="preserve">One of the paper’s most important clarifications is that Crosshairs should not</w:t>
      </w:r>
      <w:r>
        <w:t xml:space="preserve"> </w:t>
      </w:r>
      <w:r>
        <w:t xml:space="preserve">be framed as a machine for humiliating believers. The strongest intellectual</w:t>
      </w:r>
      <w:r>
        <w:t xml:space="preserve"> </w:t>
      </w:r>
      <w:r>
        <w:t xml:space="preserve">version of the project is constructive. It allows a religious inquirer to prune</w:t>
      </w:r>
      <w:r>
        <w:t xml:space="preserve"> </w:t>
      </w:r>
      <w:r>
        <w:t xml:space="preserve">overclaiming, narrow unsupported assertions, isolate where a bridge premise is</w:t>
      </w:r>
      <w:r>
        <w:t xml:space="preserve"> </w:t>
      </w:r>
      <w:r>
        <w:t xml:space="preserve">doing illicit work, and decide which claims belong in the domain of personal</w:t>
      </w:r>
      <w:r>
        <w:t xml:space="preserve"> </w:t>
      </w:r>
      <w:r>
        <w:t xml:space="preserve">meaning rather than public argument. If the suite succeeds, one possible</w:t>
      </w:r>
      <w:r>
        <w:t xml:space="preserve"> </w:t>
      </w:r>
      <w:r>
        <w:t xml:space="preserve">outcome is disbelief; another is chastened but still religious commitment; and a</w:t>
      </w:r>
      <w:r>
        <w:t xml:space="preserve"> </w:t>
      </w:r>
      <w:r>
        <w:t xml:space="preserve">third is a more explicit partition between devotional trust and evidentially</w:t>
      </w:r>
      <w:r>
        <w:t xml:space="preserve"> </w:t>
      </w:r>
      <w:r>
        <w:t xml:space="preserve">defensible conclusion. The point is not predetermined deconversion. The point is</w:t>
      </w:r>
      <w:r>
        <w:t xml:space="preserve"> </w:t>
      </w:r>
      <w:r>
        <w:t xml:space="preserve">the production of clearer and more proportioned doxastic states.</w:t>
      </w:r>
    </w:p>
    <w:p>
      <w:pPr>
        <w:pStyle w:val="BodyText"/>
      </w:pPr>
      <w:r>
        <w:t xml:space="preserve">This constructive framing also answers a predictable objection. Critics may say</w:t>
      </w:r>
      <w:r>
        <w:t xml:space="preserve"> </w:t>
      </w:r>
      <w:r>
        <w:t xml:space="preserve">that any audit designed around public defensibility already privileges a</w:t>
      </w:r>
      <w:r>
        <w:t xml:space="preserve"> </w:t>
      </w:r>
      <w:r>
        <w:t xml:space="preserve">skeptical epistemology. There is truth in the complaint if it is taken to mean</w:t>
      </w:r>
      <w:r>
        <w:t xml:space="preserve"> </w:t>
      </w:r>
      <w:r>
        <w:t xml:space="preserve">that the suite demands explicit standards, symmetry, and correction-readiness.</w:t>
      </w:r>
      <w:r>
        <w:t xml:space="preserve"> </w:t>
      </w:r>
      <w:r>
        <w:t xml:space="preserve">Those are indeed nonneutral demands. But they are also the demands ordinarily</w:t>
      </w:r>
      <w:r>
        <w:t xml:space="preserve"> </w:t>
      </w:r>
      <w:r>
        <w:t xml:space="preserve">incurred once a belief is offered as public evidence. Crosshairs does not insist</w:t>
      </w:r>
      <w:r>
        <w:t xml:space="preserve"> </w:t>
      </w:r>
      <w:r>
        <w:t xml:space="preserve">that all valuable beliefs be public in this sense. It insists only that when</w:t>
      </w:r>
      <w:r>
        <w:t xml:space="preserve"> </w:t>
      </w:r>
      <w:r>
        <w:t xml:space="preserve">private meaning is converted into public proof, the conversion must be audited.</w:t>
      </w:r>
    </w:p>
    <w:bookmarkEnd w:id="43"/>
    <w:bookmarkStart w:id="44" w:name="why-interactivity-matters"/>
    <w:p>
      <w:pPr>
        <w:pStyle w:val="Heading2"/>
      </w:pPr>
      <w:r>
        <w:t xml:space="preserve">Why Interactivity Matters</w:t>
      </w:r>
    </w:p>
    <w:p>
      <w:pPr>
        <w:pStyle w:val="FirstParagraph"/>
      </w:pPr>
      <w:r>
        <w:t xml:space="preserve">The argument of the paper is not merely that the underlying epistemic norms are</w:t>
      </w:r>
      <w:r>
        <w:t xml:space="preserve"> </w:t>
      </w:r>
      <w:r>
        <w:t xml:space="preserve">good norms. It is that the medium of instruction matters. Interactivity changes</w:t>
      </w:r>
      <w:r>
        <w:t xml:space="preserve"> </w:t>
      </w:r>
      <w:r>
        <w:t xml:space="preserve">the pedagogical situation because it shifts users from passive agreement or</w:t>
      </w:r>
      <w:r>
        <w:t xml:space="preserve"> </w:t>
      </w:r>
      <w:r>
        <w:t xml:space="preserve">disagreement into constrained self-specification. Instead of nodding along with</w:t>
      </w:r>
      <w:r>
        <w:t xml:space="preserve"> </w:t>
      </w:r>
      <w:r>
        <w:t xml:space="preserve">the claim that miracle reasoning should consider alternatives, the user must</w:t>
      </w:r>
      <w:r>
        <w:t xml:space="preserve"> </w:t>
      </w:r>
      <w:r>
        <w:t xml:space="preserve">actually indicate which alternatives remain live. Instead of affirming that</w:t>
      </w:r>
      <w:r>
        <w:t xml:space="preserve"> </w:t>
      </w:r>
      <w:r>
        <w:t xml:space="preserve">moral truth needs grounding, the user must indicate which grounders are doing</w:t>
      </w:r>
      <w:r>
        <w:t xml:space="preserve"> </w:t>
      </w:r>
      <w:r>
        <w:t xml:space="preserve">the work. Instead of declaring that prayer is evidentially meaningful, the user</w:t>
      </w:r>
      <w:r>
        <w:t xml:space="preserve"> </w:t>
      </w:r>
      <w:r>
        <w:t xml:space="preserve">must clarify whether any result could count against the claim.</w:t>
      </w:r>
    </w:p>
    <w:p>
      <w:pPr>
        <w:pStyle w:val="BodyText"/>
      </w:pPr>
      <w:r>
        <w:t xml:space="preserve">That interface logic may help explain why the suite has promise as a pedagogical</w:t>
      </w:r>
      <w:r>
        <w:t xml:space="preserve"> </w:t>
      </w:r>
      <w:r>
        <w:t xml:space="preserve">instrument. Research on epistemic cognition and conceptual change suggests that</w:t>
      </w:r>
      <w:r>
        <w:t xml:space="preserve"> </w:t>
      </w:r>
      <w:r>
        <w:t xml:space="preserve">learning improves when standards are made explicit and when the learner is</w:t>
      </w:r>
      <w:r>
        <w:t xml:space="preserve"> </w:t>
      </w:r>
      <w:r>
        <w:t xml:space="preserve">confronted with structured dissatisfaction rather than with only abstract</w:t>
      </w:r>
      <w:r>
        <w:t xml:space="preserve"> </w:t>
      </w:r>
      <w:r>
        <w:t xml:space="preserve">counterassertion</w:t>
      </w:r>
      <w:r>
        <w:t xml:space="preserve"> </w:t>
      </w:r>
      <w:r>
        <w:t xml:space="preserve">(Chinn et al. 2011; Posner et al. 1982)</w:t>
      </w:r>
      <w:r>
        <w:t xml:space="preserve">. Crosshairs attempts to operationalize</w:t>
      </w:r>
      <w:r>
        <w:t xml:space="preserve"> </w:t>
      </w:r>
      <w:r>
        <w:t xml:space="preserve">that insight in a religious domain by making hidden assumptions difficult to</w:t>
      </w:r>
      <w:r>
        <w:t xml:space="preserve"> </w:t>
      </w:r>
      <w:r>
        <w:t xml:space="preserve">preserve in their tacit form.</w:t>
      </w:r>
    </w:p>
    <w:bookmarkEnd w:id="44"/>
    <w:bookmarkStart w:id="45" w:name="Xaa7fe3859e8bfc4f13a4493b3d5079cbb42636c"/>
    <w:p>
      <w:pPr>
        <w:pStyle w:val="Heading2"/>
      </w:pPr>
      <w:r>
        <w:t xml:space="preserve">Relevance for Religious Pedagogy and Public Dialogue</w:t>
      </w:r>
    </w:p>
    <w:p>
      <w:pPr>
        <w:pStyle w:val="FirstParagraph"/>
      </w:pPr>
      <w:r>
        <w:t xml:space="preserve">The paper also suggests a broader application beyond apologetics narrowly</w:t>
      </w:r>
      <w:r>
        <w:t xml:space="preserve"> </w:t>
      </w:r>
      <w:r>
        <w:t xml:space="preserve">construed. The suite could be used in philosophy of religion courses, adult</w:t>
      </w:r>
      <w:r>
        <w:t xml:space="preserve"> </w:t>
      </w:r>
      <w:r>
        <w:t xml:space="preserve">religious education, skeptical discussion groups, or inter-worldview dialogue</w:t>
      </w:r>
      <w:r>
        <w:t xml:space="preserve"> </w:t>
      </w:r>
      <w:r>
        <w:t xml:space="preserve">contexts where the aim is not simply to win a debate but to clarify what is</w:t>
      </w:r>
      <w:r>
        <w:t xml:space="preserve"> </w:t>
      </w:r>
      <w:r>
        <w:t xml:space="preserve">actually being claimed and what supports it. In that respect, the project may</w:t>
      </w:r>
      <w:r>
        <w:t xml:space="preserve"> </w:t>
      </w:r>
      <w:r>
        <w:t xml:space="preserve">have value even where participants reach different substantive conclusions. A</w:t>
      </w:r>
      <w:r>
        <w:t xml:space="preserve"> </w:t>
      </w:r>
      <w:r>
        <w:t xml:space="preserve">Christian, agnostic, and atheist may disagree sharply at the end of the process,</w:t>
      </w:r>
      <w:r>
        <w:t xml:space="preserve"> </w:t>
      </w:r>
      <w:r>
        <w:t xml:space="preserve">yet still benefit from having made their standards, bridges, and failure</w:t>
      </w:r>
      <w:r>
        <w:t xml:space="preserve"> </w:t>
      </w:r>
      <w:r>
        <w:t xml:space="preserve">conditions more explicit.</w:t>
      </w:r>
    </w:p>
    <w:p>
      <w:pPr>
        <w:pStyle w:val="BodyText"/>
      </w:pPr>
      <w:r>
        <w:t xml:space="preserve">This use case is worth emphasizing because public religious argument often</w:t>
      </w:r>
      <w:r>
        <w:t xml:space="preserve"> </w:t>
      </w:r>
      <w:r>
        <w:t xml:space="preserve">suffers from category mistakes. A critic attacks existential trust as though it</w:t>
      </w:r>
      <w:r>
        <w:t xml:space="preserve"> </w:t>
      </w:r>
      <w:r>
        <w:t xml:space="preserve">were a historical claim; a believer defends a public miracle claim with the</w:t>
      </w:r>
      <w:r>
        <w:t xml:space="preserve"> </w:t>
      </w:r>
      <w:r>
        <w:t xml:space="preserve">language of private meaning; a moral intuition is advanced as though it were</w:t>
      </w:r>
      <w:r>
        <w:t xml:space="preserve"> </w:t>
      </w:r>
      <w:r>
        <w:t xml:space="preserve">already a full metaethical account. By disaggregating these layers, the suite</w:t>
      </w:r>
      <w:r>
        <w:t xml:space="preserve"> </w:t>
      </w:r>
      <w:r>
        <w:t xml:space="preserve">may improve the quality of disagreement even when it does not eliminate it.</w:t>
      </w:r>
    </w:p>
    <w:bookmarkEnd w:id="45"/>
    <w:bookmarkEnd w:id="46"/>
    <w:bookmarkStart w:id="47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The paper’s present claims are architectural and pedagogical, not yet</w:t>
      </w:r>
      <w:r>
        <w:t xml:space="preserve"> </w:t>
      </w:r>
      <w:r>
        <w:t xml:space="preserve">experimental. That limitation is important. Crosshairs may be well designed and</w:t>
      </w:r>
      <w:r>
        <w:t xml:space="preserve"> </w:t>
      </w:r>
      <w:r>
        <w:t xml:space="preserve">still prove less effective than hoped. Future research should therefore examine</w:t>
      </w:r>
      <w:r>
        <w:t xml:space="preserve"> </w:t>
      </w:r>
      <w:r>
        <w:t xml:space="preserve">whether users who complete the suite show measurable changes in calibration,</w:t>
      </w:r>
      <w:r>
        <w:t xml:space="preserve"> </w:t>
      </w:r>
      <w:r>
        <w:t xml:space="preserve">symmetry of judgment, willingness to specify correction conditions, or readiness</w:t>
      </w:r>
      <w:r>
        <w:t xml:space="preserve"> </w:t>
      </w:r>
      <w:r>
        <w:t xml:space="preserve">to thin overextended conclusions. Comparative studies would be especially useful:</w:t>
      </w:r>
      <w:r>
        <w:t xml:space="preserve"> </w:t>
      </w:r>
      <w:r>
        <w:t xml:space="preserve">for example, comparing interactive audit exposure with essay-based instruction on</w:t>
      </w:r>
      <w:r>
        <w:t xml:space="preserve"> </w:t>
      </w:r>
      <w:r>
        <w:t xml:space="preserve">the same epistemic norms.</w:t>
      </w:r>
    </w:p>
    <w:p>
      <w:pPr>
        <w:pStyle w:val="BodyText"/>
      </w:pPr>
      <w:r>
        <w:t xml:space="preserve">Another limitation is normative. The suite clearly privileges explicitness,</w:t>
      </w:r>
      <w:r>
        <w:t xml:space="preserve"> </w:t>
      </w:r>
      <w:r>
        <w:t xml:space="preserve">public vulnerability, and inferential discipline. Many religious practitioners</w:t>
      </w:r>
      <w:r>
        <w:t xml:space="preserve"> </w:t>
      </w:r>
      <w:r>
        <w:t xml:space="preserve">will regard those demands as too narrow for lived faith. That criticism should</w:t>
      </w:r>
      <w:r>
        <w:t xml:space="preserve"> </w:t>
      </w:r>
      <w:r>
        <w:t xml:space="preserve">not be evaded. Instead, it should be answered by clarifying the domain of the</w:t>
      </w:r>
      <w:r>
        <w:t xml:space="preserve"> </w:t>
      </w:r>
      <w:r>
        <w:t xml:space="preserve">project. Crosshairs is designed primarily for claims functioning as arguments,</w:t>
      </w:r>
      <w:r>
        <w:t xml:space="preserve"> </w:t>
      </w:r>
      <w:r>
        <w:t xml:space="preserve">evidence, or public justification. It is not a total theory of religion, and it</w:t>
      </w:r>
      <w:r>
        <w:t xml:space="preserve"> </w:t>
      </w:r>
      <w:r>
        <w:t xml:space="preserve">does not pretend to exhaust the value of ritual, devotion, belonging, or</w:t>
      </w:r>
      <w:r>
        <w:t xml:space="preserve"> </w:t>
      </w:r>
      <w:r>
        <w:t xml:space="preserve">existential orientation.</w:t>
      </w:r>
    </w:p>
    <w:p>
      <w:pPr>
        <w:pStyle w:val="BodyText"/>
      </w:pPr>
      <w:r>
        <w:t xml:space="preserve">There is also a measurement issue. Because the tools rely on user inputs, they</w:t>
      </w:r>
      <w:r>
        <w:t xml:space="preserve"> </w:t>
      </w:r>
      <w:r>
        <w:t xml:space="preserve">cannot escape the quality of the assumptions supplied. Yet this is not simply a</w:t>
      </w:r>
      <w:r>
        <w:t xml:space="preserve"> </w:t>
      </w:r>
      <w:r>
        <w:t xml:space="preserve">defect. It is part of the design. The goal is not to replace judgment with</w:t>
      </w:r>
      <w:r>
        <w:t xml:space="preserve"> </w:t>
      </w:r>
      <w:r>
        <w:t xml:space="preserve">automation, but to force judgment into visible form so that it can be inspected,</w:t>
      </w:r>
      <w:r>
        <w:t xml:space="preserve"> </w:t>
      </w:r>
      <w:r>
        <w:t xml:space="preserve">contested, and revised. Future versions of the paper could strengthen this point</w:t>
      </w:r>
      <w:r>
        <w:t xml:space="preserve"> </w:t>
      </w:r>
      <w:r>
        <w:t xml:space="preserve">by distinguishing more carefully between score objectivity and procedural</w:t>
      </w:r>
      <w:r>
        <w:t xml:space="preserve"> </w:t>
      </w:r>
      <w:r>
        <w:t xml:space="preserve">transparency.</w:t>
      </w:r>
    </w:p>
    <w:p>
      <w:pPr>
        <w:pStyle w:val="BodyText"/>
      </w:pPr>
      <w:r>
        <w:t xml:space="preserve">Finally, the current paper remains strongly centered on Christian apologetic</w:t>
      </w:r>
      <w:r>
        <w:t xml:space="preserve"> </w:t>
      </w:r>
      <w:r>
        <w:t xml:space="preserve">contexts. That focus is appropriate to the present tool suite, but future work</w:t>
      </w:r>
      <w:r>
        <w:t xml:space="preserve"> </w:t>
      </w:r>
      <w:r>
        <w:t xml:space="preserve">could ask whether the same pedagogical framework transfers to other religious</w:t>
      </w:r>
      <w:r>
        <w:t xml:space="preserve"> </w:t>
      </w:r>
      <w:r>
        <w:t xml:space="preserve">traditions or to secular ideological systems where identity protection,</w:t>
      </w:r>
      <w:r>
        <w:t xml:space="preserve"> </w:t>
      </w:r>
      <w:r>
        <w:t xml:space="preserve">evidential asymmetry, and inferential thickening also play important roles.</w:t>
      </w:r>
    </w:p>
    <w:bookmarkEnd w:id="47"/>
    <w:bookmarkStart w:id="4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Crosshairs Audit Lab is offered as a response to a specific problem: theological</w:t>
      </w:r>
      <w:r>
        <w:t xml:space="preserve"> </w:t>
      </w:r>
      <w:r>
        <w:t xml:space="preserve">inclination often matures into thick public confidence without passing through</w:t>
      </w:r>
      <w:r>
        <w:t xml:space="preserve"> </w:t>
      </w:r>
      <w:r>
        <w:t xml:space="preserve">enough stages of clarification, comparison, and correction. The suite’s</w:t>
      </w:r>
      <w:r>
        <w:t xml:space="preserve"> </w:t>
      </w:r>
      <w:r>
        <w:t xml:space="preserve">intervention is neither to forbid religious commitment nor to guarantee</w:t>
      </w:r>
      <w:r>
        <w:t xml:space="preserve"> </w:t>
      </w:r>
      <w:r>
        <w:t xml:space="preserve">skeptical outcomes. Its intervention is to make public-facing belief claims more</w:t>
      </w:r>
      <w:r>
        <w:t xml:space="preserve"> </w:t>
      </w:r>
      <w:r>
        <w:t xml:space="preserve">answerable to explicit standards, visible bridge premises, and real conditions</w:t>
      </w:r>
      <w:r>
        <w:t xml:space="preserve"> </w:t>
      </w:r>
      <w:r>
        <w:t xml:space="preserve">of revision.</w:t>
      </w:r>
    </w:p>
    <w:p>
      <w:pPr>
        <w:pStyle w:val="BodyText"/>
      </w:pPr>
      <w:r>
        <w:t xml:space="preserve">The paper’s contribution is therefore methodological and pedagogical. It draws</w:t>
      </w:r>
      <w:r>
        <w:t xml:space="preserve"> </w:t>
      </w:r>
      <w:r>
        <w:t xml:space="preserve">on research in epistemic cognition, motivated reasoning, religious</w:t>
      </w:r>
      <w:r>
        <w:t xml:space="preserve"> </w:t>
      </w:r>
      <w:r>
        <w:t xml:space="preserve">disconfirmation, and scaffolded conceptual change, but translates those</w:t>
      </w:r>
      <w:r>
        <w:t xml:space="preserve"> </w:t>
      </w:r>
      <w:r>
        <w:t xml:space="preserve">literatures into a sequenced audit environment for religious inquiry. If the</w:t>
      </w:r>
      <w:r>
        <w:t xml:space="preserve"> </w:t>
      </w:r>
      <w:r>
        <w:t xml:space="preserve">suite succeeds, the most characteristic result will not be rhetorical victory.</w:t>
      </w:r>
      <w:r>
        <w:t xml:space="preserve"> </w:t>
      </w:r>
      <w:r>
        <w:t xml:space="preserve">It will be a more proportioned doxastic state: narrower where support is thin,</w:t>
      </w:r>
      <w:r>
        <w:t xml:space="preserve"> </w:t>
      </w:r>
      <w:r>
        <w:t xml:space="preserve">clearer where assumptions were hidden, and more accountable wherever a claim is</w:t>
      </w:r>
      <w:r>
        <w:t xml:space="preserve"> </w:t>
      </w:r>
      <w:r>
        <w:t xml:space="preserve">offered as public evidence.</w:t>
      </w:r>
    </w:p>
    <w:bookmarkEnd w:id="48"/>
    <w:bookmarkStart w:id="80" w:name="appendix-tool-resource-guide"/>
    <w:p>
      <w:pPr>
        <w:pStyle w:val="Heading1"/>
      </w:pPr>
      <w:r>
        <w:t xml:space="preserve">Appendix: Tool Resource Guide</w:t>
      </w:r>
    </w:p>
    <w:p>
      <w:pPr>
        <w:pStyle w:val="FirstParagraph"/>
      </w:pPr>
      <w:r>
        <w:t xml:space="preserve">For print readers, the live hub remains the most reliable single access point</w:t>
      </w:r>
      <w:r>
        <w:t xml:space="preserve"> </w:t>
      </w:r>
      <w:r>
        <w:t xml:space="preserve">for the current tool pages and companion PDFs:</w:t>
      </w:r>
    </w:p>
    <w:p>
      <w:pPr>
        <w:pStyle w:val="BodyText"/>
      </w:pPr>
      <w:r>
        <w:drawing>
          <wp:inline>
            <wp:extent cx="1173480" cy="117348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hub-q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Hub URL:</w:t>
      </w:r>
      <w:r>
        <w:t xml:space="preserve"> </w:t>
      </w:r>
      <w:hyperlink r:id="rId52">
        <w:r>
          <w:rPr>
            <w:rStyle w:val="Hyperlink"/>
          </w:rPr>
          <w:t xml:space="preserve">https://xhairs.com/</w:t>
        </w:r>
      </w:hyperlink>
    </w:p>
    <w:p>
      <w:pPr>
        <w:pStyle w:val="BodyText"/>
      </w:pPr>
      <w:r>
        <w:t xml:space="preserve">Print-friendly tool URLs: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Overreach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xhairs.com/apps/belief-overreach-audit/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 Bridge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xhairs.com/apps/fine-tuning-bridge-audit/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Earthly Promise Test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xhairs.com/apps/falsifiability-field/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Inductive Symmetry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xhairs.com/apps/inductive-symmetry-audit/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Resurrection Evidence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xhairs.com/apps/resurrection-evidence-audit/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Moral System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xhairs.com/apps/moral-system-threshold/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Moral System Stress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xhairs.com/apps/moral-system-stress-test/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Moral Particulars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xhairs.com/apps/moral-particulars-audit/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Deism-Theism Gradient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xhairs.com/apps/theism-gradient-audit/app.html</w:t>
            </w:r>
          </w:p>
        </w:tc>
      </w:tr>
    </w:tbl>
    <w:p>
      <w:pPr>
        <w:pStyle w:val="BodyText"/>
      </w:pPr>
      <w:r>
        <w:t xml:space="preserve">Digital resource inventory:</w:t>
      </w:r>
    </w:p>
    <w:p>
      <w:pPr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Belief Overreach Audit</w:t>
        </w:r>
      </w:hyperlink>
      <w:r>
        <w:t xml:space="preserve"> </w:t>
      </w:r>
      <w:r>
        <w:t xml:space="preserve">— calibrates the gap between confidence and perceived support.</w:t>
      </w:r>
      <w:r>
        <w:br/>
      </w:r>
      <w:r>
        <w:t xml:space="preserve">—</w:t>
      </w:r>
      <w:r>
        <w:t xml:space="preserve"> </w:t>
      </w:r>
      <w:hyperlink r:id="rId54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55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56">
        <w:r>
          <w:rPr>
            <w:rStyle w:val="Hyperlink"/>
          </w:rPr>
          <w:t xml:space="preserve">Fine-Tuning Bridge Audit</w:t>
        </w:r>
      </w:hyperlink>
      <w:r>
        <w:t xml:space="preserve"> </w:t>
      </w:r>
      <w:r>
        <w:t xml:space="preserve">— checks whether fine-tuning really licenses design, purpose, or theism.</w:t>
      </w:r>
      <w:r>
        <w:br/>
      </w:r>
      <w:r>
        <w:t xml:space="preserve">—</w:t>
      </w:r>
      <w:r>
        <w:t xml:space="preserve"> </w:t>
      </w:r>
      <w:hyperlink r:id="rId57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58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59">
        <w:r>
          <w:rPr>
            <w:rStyle w:val="Hyperlink"/>
          </w:rPr>
          <w:t xml:space="preserve">Earthly Promise Test Field</w:t>
        </w:r>
      </w:hyperlink>
      <w:r>
        <w:t xml:space="preserve"> </w:t>
      </w:r>
      <w:r>
        <w:t xml:space="preserve">— tests whether earthly divine-promise claims remain open to ordinary verification.</w:t>
      </w:r>
      <w:r>
        <w:br/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62">
        <w:r>
          <w:rPr>
            <w:rStyle w:val="Hyperlink"/>
          </w:rPr>
          <w:t xml:space="preserve">Inductive Symmetry Audit</w:t>
        </w:r>
      </w:hyperlink>
      <w:r>
        <w:t xml:space="preserve"> </w:t>
      </w:r>
      <w:r>
        <w:t xml:space="preserve">— compares whether similar patterns are judged fairly across favored and unfavored cases.</w:t>
      </w:r>
      <w:r>
        <w:br/>
      </w:r>
      <w:r>
        <w:t xml:space="preserve">—</w:t>
      </w:r>
      <w:r>
        <w:t xml:space="preserve"> </w:t>
      </w:r>
      <w:hyperlink r:id="rId63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64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65">
        <w:r>
          <w:rPr>
            <w:rStyle w:val="Hyperlink"/>
          </w:rPr>
          <w:t xml:space="preserve">Resurrection Evidence Audit</w:t>
        </w:r>
      </w:hyperlink>
      <w:r>
        <w:t xml:space="preserve"> </w:t>
      </w:r>
      <w:r>
        <w:t xml:space="preserve">— makes miracle and resurrection reasoning explicit through structured evidential accounting.</w:t>
      </w:r>
      <w:r>
        <w:br/>
      </w:r>
      <w:r>
        <w:t xml:space="preserve">—</w:t>
      </w:r>
      <w:r>
        <w:t xml:space="preserve"> </w:t>
      </w:r>
      <w:hyperlink r:id="rId66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67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68">
        <w:r>
          <w:rPr>
            <w:rStyle w:val="Hyperlink"/>
          </w:rPr>
          <w:t xml:space="preserve">Moral System Threshold</w:t>
        </w:r>
      </w:hyperlink>
      <w:r>
        <w:t xml:space="preserve"> </w:t>
      </w:r>
      <w:r>
        <w:t xml:space="preserve">— asks whether a full enough moral system exists to support strong truth claims.</w:t>
      </w:r>
      <w:r>
        <w:br/>
      </w:r>
      <w:r>
        <w:t xml:space="preserve">—</w:t>
      </w:r>
      <w:r>
        <w:t xml:space="preserve"> </w:t>
      </w:r>
      <w:hyperlink r:id="rId69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70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71">
        <w:r>
          <w:rPr>
            <w:rStyle w:val="Hyperlink"/>
          </w:rPr>
          <w:t xml:space="preserve">Moral System Stress Test</w:t>
        </w:r>
      </w:hyperlink>
      <w:r>
        <w:t xml:space="preserve"> </w:t>
      </w:r>
      <w:r>
        <w:t xml:space="preserve">— pressure-tests the user’s moral framework for authority, consistency, and substantiation.</w:t>
      </w:r>
      <w:r>
        <w:br/>
      </w:r>
      <w:r>
        <w:t xml:space="preserve">—</w:t>
      </w:r>
      <w:r>
        <w:t xml:space="preserve"> </w:t>
      </w:r>
      <w:hyperlink r:id="rId72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73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74">
        <w:r>
          <w:rPr>
            <w:rStyle w:val="Hyperlink"/>
          </w:rPr>
          <w:t xml:space="preserve">Moral Particulars Audit</w:t>
        </w:r>
      </w:hyperlink>
      <w:r>
        <w:t xml:space="preserve"> </w:t>
      </w:r>
      <w:r>
        <w:t xml:space="preserve">— checks whether concrete moral judgments remain consistent across cases and grounders.</w:t>
      </w:r>
      <w:r>
        <w:br/>
      </w:r>
      <w:r>
        <w:t xml:space="preserve">—</w:t>
      </w:r>
      <w:r>
        <w:t xml:space="preserve"> </w:t>
      </w:r>
      <w:hyperlink r:id="rId75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76">
        <w:r>
          <w:rPr>
            <w:rStyle w:val="Hyperlink"/>
          </w:rPr>
          <w:t xml:space="preserve">Curriculum</w:t>
        </w:r>
      </w:hyperlink>
    </w:p>
    <w:p>
      <w:pPr>
        <w:numPr>
          <w:ilvl w:val="0"/>
          <w:numId w:val="1001"/>
        </w:numPr>
      </w:pPr>
      <w:hyperlink r:id="rId77">
        <w:r>
          <w:rPr>
            <w:rStyle w:val="Hyperlink"/>
          </w:rPr>
          <w:t xml:space="preserve">Deism-Theism Gradient Audit</w:t>
        </w:r>
      </w:hyperlink>
      <w:r>
        <w:t xml:space="preserve"> </w:t>
      </w:r>
      <w:r>
        <w:t xml:space="preserve">— maps how thin design inferences are thickened into broader theistic and Christian claims.</w:t>
      </w:r>
      <w:r>
        <w:br/>
      </w:r>
      <w:r>
        <w:t xml:space="preserve">—</w:t>
      </w:r>
      <w:r>
        <w:t xml:space="preserve"> </w:t>
      </w:r>
      <w:hyperlink r:id="rId78">
        <w:r>
          <w:rPr>
            <w:rStyle w:val="Hyperlink"/>
          </w:rPr>
          <w:t xml:space="preserve">Manual</w:t>
        </w:r>
      </w:hyperlink>
      <w:r>
        <w:br/>
      </w:r>
      <w:r>
        <w:t xml:space="preserve">—</w:t>
      </w:r>
      <w:r>
        <w:t xml:space="preserve"> </w:t>
      </w:r>
      <w:hyperlink r:id="rId79">
        <w:r>
          <w:rPr>
            <w:rStyle w:val="Hyperlink"/>
          </w:rPr>
          <w:t xml:space="preserve">Curriculum</w:t>
        </w:r>
      </w:hyperlink>
    </w:p>
    <w:bookmarkEnd w:id="80"/>
    <w:bookmarkStart w:id="113" w:name="references"/>
    <w:p>
      <w:pPr>
        <w:pStyle w:val="Heading1"/>
      </w:pPr>
      <w:r>
        <w:t xml:space="preserve">References</w:t>
      </w:r>
    </w:p>
    <w:bookmarkStart w:id="112" w:name="refs"/>
    <w:bookmarkStart w:id="81" w:name="ref-alston1991"/>
    <w:p>
      <w:pPr>
        <w:pStyle w:val="Bibliography"/>
      </w:pPr>
      <w:r>
        <w:t xml:space="preserve">Alston, William P. 1991.</w:t>
      </w:r>
      <w:r>
        <w:t xml:space="preserve"> </w:t>
      </w:r>
      <w:r>
        <w:rPr>
          <w:i/>
          <w:iCs/>
        </w:rPr>
        <w:t xml:space="preserve">Perceiving God: The Epistemology of Religious Experience</w:t>
      </w:r>
      <w:r>
        <w:t xml:space="preserve">. Cornell University Press.</w:t>
      </w:r>
    </w:p>
    <w:bookmarkEnd w:id="81"/>
    <w:bookmarkStart w:id="83" w:name="ref-batson1975"/>
    <w:p>
      <w:pPr>
        <w:pStyle w:val="Bibliography"/>
      </w:pPr>
      <w:r>
        <w:t xml:space="preserve">Batson, C. Daniel. 1975.</w:t>
      </w:r>
      <w:r>
        <w:t xml:space="preserve"> </w:t>
      </w:r>
      <w:r>
        <w:t xml:space="preserve">“Rational Processing or Rationalization? The Effect of Disconfirming Information on a Stated Religious Belief.”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 </w:t>
      </w:r>
      <w:r>
        <w:t xml:space="preserve">32 (1): 176–84.</w:t>
      </w:r>
      <w:r>
        <w:t xml:space="preserve"> </w:t>
      </w:r>
      <w:hyperlink r:id="rId82">
        <w:r>
          <w:rPr>
            <w:rStyle w:val="Hyperlink"/>
          </w:rPr>
          <w:t xml:space="preserve">https://doi.org/10.1037/h0076771</w:t>
        </w:r>
      </w:hyperlink>
      <w:r>
        <w:t xml:space="preserve">.</w:t>
      </w:r>
    </w:p>
    <w:bookmarkEnd w:id="83"/>
    <w:bookmarkStart w:id="85" w:name="ref-batsonschoenrade1991"/>
    <w:p>
      <w:pPr>
        <w:pStyle w:val="Bibliography"/>
      </w:pPr>
      <w:r>
        <w:t xml:space="preserve">Batson, C. Daniel, and Patricia A. Schoenrade. 1991.</w:t>
      </w:r>
      <w:r>
        <w:t xml:space="preserve"> </w:t>
      </w:r>
      <w:r>
        <w:t xml:space="preserve">“Measuring Religion as Quest: 1) Validity Concerns.”</w:t>
      </w:r>
      <w:r>
        <w:t xml:space="preserve"> </w:t>
      </w:r>
      <w:r>
        <w:rPr>
          <w:i/>
          <w:iCs/>
        </w:rPr>
        <w:t xml:space="preserve">Journal for the Scientific Study of Religion</w:t>
      </w:r>
      <w:r>
        <w:t xml:space="preserve"> </w:t>
      </w:r>
      <w:r>
        <w:t xml:space="preserve">30 (4): 416–29.</w:t>
      </w:r>
      <w:r>
        <w:t xml:space="preserve"> </w:t>
      </w:r>
      <w:hyperlink r:id="rId84">
        <w:r>
          <w:rPr>
            <w:rStyle w:val="Hyperlink"/>
          </w:rPr>
          <w:t xml:space="preserve">https://doi.org/10.2307/1387277</w:t>
        </w:r>
      </w:hyperlink>
      <w:r>
        <w:t xml:space="preserve">.</w:t>
      </w:r>
    </w:p>
    <w:bookmarkEnd w:id="85"/>
    <w:bookmarkStart w:id="87" w:name="ref-chinn2011"/>
    <w:p>
      <w:pPr>
        <w:pStyle w:val="Bibliography"/>
      </w:pPr>
      <w:r>
        <w:t xml:space="preserve">Chinn, Clark A., Luke A. Buckland, and Ala Samarapungavan. 2011.</w:t>
      </w:r>
      <w:r>
        <w:t xml:space="preserve"> </w:t>
      </w:r>
      <w:r>
        <w:t xml:space="preserve">“Expanding the Dimensions of Epistemic Cognition: Arguments from Philosophy and Psychology.”</w:t>
      </w:r>
      <w:r>
        <w:t xml:space="preserve"> </w:t>
      </w:r>
      <w:r>
        <w:rPr>
          <w:i/>
          <w:iCs/>
        </w:rPr>
        <w:t xml:space="preserve">Educational Psychologist</w:t>
      </w:r>
      <w:r>
        <w:t xml:space="preserve"> </w:t>
      </w:r>
      <w:r>
        <w:t xml:space="preserve">46 (3): 141–67.</w:t>
      </w:r>
      <w:r>
        <w:t xml:space="preserve"> </w:t>
      </w:r>
      <w:hyperlink r:id="rId86">
        <w:r>
          <w:rPr>
            <w:rStyle w:val="Hyperlink"/>
          </w:rPr>
          <w:t xml:space="preserve">https://doi.org/10.1080/00461520.2011.587722</w:t>
        </w:r>
      </w:hyperlink>
      <w:r>
        <w:t xml:space="preserve">.</w:t>
      </w:r>
    </w:p>
    <w:bookmarkEnd w:id="87"/>
    <w:bookmarkStart w:id="88" w:name="ref-festinger1957"/>
    <w:p>
      <w:pPr>
        <w:pStyle w:val="Bibliography"/>
      </w:pPr>
      <w:r>
        <w:t xml:space="preserve">Festinger, Leon. 1957.</w:t>
      </w:r>
      <w:r>
        <w:t xml:space="preserve"> </w:t>
      </w:r>
      <w:r>
        <w:rPr>
          <w:i/>
          <w:iCs/>
        </w:rPr>
        <w:t xml:space="preserve">A Theory of Cognitive Dissonance</w:t>
      </w:r>
      <w:r>
        <w:t xml:space="preserve">. Stanford University Press.</w:t>
      </w:r>
    </w:p>
    <w:bookmarkEnd w:id="88"/>
    <w:bookmarkStart w:id="90" w:name="ref-hoferpintrich1997"/>
    <w:p>
      <w:pPr>
        <w:pStyle w:val="Bibliography"/>
      </w:pPr>
      <w:r>
        <w:t xml:space="preserve">Hofer, Barbara K., and Paul R. Pintrich. 1997.</w:t>
      </w:r>
      <w:r>
        <w:t xml:space="preserve"> </w:t>
      </w:r>
      <w:r>
        <w:t xml:space="preserve">“The Development of Epistemological Theories: Beliefs about Knowledge and Knowing and Their Relation to Learning.”</w:t>
      </w:r>
      <w:r>
        <w:t xml:space="preserve"> </w:t>
      </w:r>
      <w:r>
        <w:rPr>
          <w:i/>
          <w:iCs/>
        </w:rPr>
        <w:t xml:space="preserve">Review of Educational Research</w:t>
      </w:r>
      <w:r>
        <w:t xml:space="preserve"> </w:t>
      </w:r>
      <w:r>
        <w:t xml:space="preserve">67 (1): 88–140.</w:t>
      </w:r>
      <w:r>
        <w:t xml:space="preserve"> </w:t>
      </w:r>
      <w:hyperlink r:id="rId89">
        <w:r>
          <w:rPr>
            <w:rStyle w:val="Hyperlink"/>
          </w:rPr>
          <w:t xml:space="preserve">https://doi.org/10.2307/1170620</w:t>
        </w:r>
      </w:hyperlink>
      <w:r>
        <w:t xml:space="preserve">.</w:t>
      </w:r>
    </w:p>
    <w:bookmarkEnd w:id="90"/>
    <w:bookmarkStart w:id="92" w:name="ref-kahan2017"/>
    <w:p>
      <w:pPr>
        <w:pStyle w:val="Bibliography"/>
      </w:pPr>
      <w:r>
        <w:t xml:space="preserve">Kahan, Dan M., Ellen Peters, Erica Cantrell Dawson, and Paul Slovic. 2017.</w:t>
      </w:r>
      <w:r>
        <w:t xml:space="preserve"> </w:t>
      </w:r>
      <w:r>
        <w:t xml:space="preserve">“Motivated Numeracy and Enlightened Self-Government.”</w:t>
      </w:r>
      <w:r>
        <w:t xml:space="preserve"> </w:t>
      </w:r>
      <w:r>
        <w:rPr>
          <w:i/>
          <w:iCs/>
        </w:rPr>
        <w:t xml:space="preserve">Behavioural Public Policy</w:t>
      </w:r>
      <w:r>
        <w:t xml:space="preserve"> </w:t>
      </w:r>
      <w:r>
        <w:t xml:space="preserve">1 (1): 54–86.</w:t>
      </w:r>
      <w:r>
        <w:t xml:space="preserve"> </w:t>
      </w:r>
      <w:hyperlink r:id="rId91">
        <w:r>
          <w:rPr>
            <w:rStyle w:val="Hyperlink"/>
          </w:rPr>
          <w:t xml:space="preserve">https://doi.org/10.1017/bpp.2016.2</w:t>
        </w:r>
      </w:hyperlink>
      <w:r>
        <w:t xml:space="preserve">.</w:t>
      </w:r>
    </w:p>
    <w:bookmarkEnd w:id="92"/>
    <w:bookmarkStart w:id="94" w:name="ref-kunda1990"/>
    <w:p>
      <w:pPr>
        <w:pStyle w:val="Bibliography"/>
      </w:pPr>
      <w:r>
        <w:t xml:space="preserve">Kunda, Ziva. 1990.</w:t>
      </w:r>
      <w:r>
        <w:t xml:space="preserve"> </w:t>
      </w:r>
      <w:r>
        <w:t xml:space="preserve">“The Case for Motivated Reasoning.”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 </w:t>
      </w:r>
      <w:r>
        <w:t xml:space="preserve">108 (3): 480–98.</w:t>
      </w:r>
      <w:r>
        <w:t xml:space="preserve"> </w:t>
      </w:r>
      <w:hyperlink r:id="rId93">
        <w:r>
          <w:rPr>
            <w:rStyle w:val="Hyperlink"/>
          </w:rPr>
          <w:t xml:space="preserve">https://doi.org/10.1037/0033-2909.108.3.480</w:t>
        </w:r>
      </w:hyperlink>
      <w:r>
        <w:t xml:space="preserve">.</w:t>
      </w:r>
    </w:p>
    <w:bookmarkEnd w:id="94"/>
    <w:bookmarkStart w:id="96" w:name="ref-mcfarlandwarren1992"/>
    <w:p>
      <w:pPr>
        <w:pStyle w:val="Bibliography"/>
      </w:pPr>
      <w:r>
        <w:t xml:space="preserve">McFarland, Sam G., and James C. Warren. 1992.</w:t>
      </w:r>
      <w:r>
        <w:t xml:space="preserve"> </w:t>
      </w:r>
      <w:r>
        <w:t xml:space="preserve">“Religious Orientations and Selective Exposure Among Fundamentalist Christians.”</w:t>
      </w:r>
      <w:r>
        <w:t xml:space="preserve"> </w:t>
      </w:r>
      <w:r>
        <w:rPr>
          <w:i/>
          <w:iCs/>
        </w:rPr>
        <w:t xml:space="preserve">Journal for the Scientific Study of Religion</w:t>
      </w:r>
      <w:r>
        <w:t xml:space="preserve"> </w:t>
      </w:r>
      <w:r>
        <w:t xml:space="preserve">31 (2): 163–74.</w:t>
      </w:r>
      <w:r>
        <w:t xml:space="preserve"> </w:t>
      </w:r>
      <w:hyperlink r:id="rId95">
        <w:r>
          <w:rPr>
            <w:rStyle w:val="Hyperlink"/>
          </w:rPr>
          <w:t xml:space="preserve">https://doi.org/10.2307/1387006</w:t>
        </w:r>
      </w:hyperlink>
      <w:r>
        <w:t xml:space="preserve">.</w:t>
      </w:r>
    </w:p>
    <w:bookmarkEnd w:id="96"/>
    <w:bookmarkStart w:id="98" w:name="ref-merciersperber2011"/>
    <w:p>
      <w:pPr>
        <w:pStyle w:val="Bibliography"/>
      </w:pPr>
      <w:r>
        <w:t xml:space="preserve">Mercier, Hugo, and Dan Sperber. 2011.</w:t>
      </w:r>
      <w:r>
        <w:t xml:space="preserve"> </w:t>
      </w:r>
      <w:r>
        <w:t xml:space="preserve">“Why Do Humans Reason? Arguments for an Argumentative Theory.”</w:t>
      </w:r>
      <w:r>
        <w:t xml:space="preserve"> </w:t>
      </w:r>
      <w:r>
        <w:rPr>
          <w:i/>
          <w:iCs/>
        </w:rPr>
        <w:t xml:space="preserve">Behavioral and Brain Sciences</w:t>
      </w:r>
      <w:r>
        <w:t xml:space="preserve"> </w:t>
      </w:r>
      <w:r>
        <w:t xml:space="preserve">34 (2): 57–74.</w:t>
      </w:r>
      <w:r>
        <w:t xml:space="preserve"> </w:t>
      </w:r>
      <w:hyperlink r:id="rId97">
        <w:r>
          <w:rPr>
            <w:rStyle w:val="Hyperlink"/>
          </w:rPr>
          <w:t xml:space="preserve">https://doi.org/10.1017/S0140525X10000968</w:t>
        </w:r>
      </w:hyperlink>
      <w:r>
        <w:t xml:space="preserve">.</w:t>
      </w:r>
    </w:p>
    <w:bookmarkEnd w:id="98"/>
    <w:bookmarkStart w:id="100" w:name="ref-moorehealy2008"/>
    <w:p>
      <w:pPr>
        <w:pStyle w:val="Bibliography"/>
      </w:pPr>
      <w:r>
        <w:t xml:space="preserve">Moore, Don A., and Paul J. Healy. 2008.</w:t>
      </w:r>
      <w:r>
        <w:t xml:space="preserve"> </w:t>
      </w:r>
      <w:r>
        <w:t xml:space="preserve">“The Trouble with Overconfidence.”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 </w:t>
      </w:r>
      <w:r>
        <w:t xml:space="preserve">115 (2): 502–17.</w:t>
      </w:r>
      <w:r>
        <w:t xml:space="preserve"> </w:t>
      </w:r>
      <w:hyperlink r:id="rId99">
        <w:r>
          <w:rPr>
            <w:rStyle w:val="Hyperlink"/>
          </w:rPr>
          <w:t xml:space="preserve">https://doi.org/10.1037/0033-295X.115.2.502</w:t>
        </w:r>
      </w:hyperlink>
      <w:r>
        <w:t xml:space="preserve">.</w:t>
      </w:r>
    </w:p>
    <w:bookmarkEnd w:id="100"/>
    <w:bookmarkStart w:id="102" w:name="ref-pintrich1993"/>
    <w:p>
      <w:pPr>
        <w:pStyle w:val="Bibliography"/>
      </w:pPr>
      <w:r>
        <w:t xml:space="preserve">Pintrich, Paul R., Ronald W. Marx, and Robert A. Boyle. 1993.</w:t>
      </w:r>
      <w:r>
        <w:t xml:space="preserve"> </w:t>
      </w:r>
      <w:r>
        <w:t xml:space="preserve">“Beyond Cold Conceptual Change: The Role of Motivational Beliefs and Classroom Contextual Factors in the Process of Conceptual Change.”</w:t>
      </w:r>
      <w:r>
        <w:t xml:space="preserve"> </w:t>
      </w:r>
      <w:r>
        <w:rPr>
          <w:i/>
          <w:iCs/>
        </w:rPr>
        <w:t xml:space="preserve">Review of Educational Research</w:t>
      </w:r>
      <w:r>
        <w:t xml:space="preserve"> </w:t>
      </w:r>
      <w:r>
        <w:t xml:space="preserve">63 (2): 167–99.</w:t>
      </w:r>
      <w:r>
        <w:t xml:space="preserve"> </w:t>
      </w:r>
      <w:hyperlink r:id="rId101">
        <w:r>
          <w:rPr>
            <w:rStyle w:val="Hyperlink"/>
          </w:rPr>
          <w:t xml:space="preserve">https://doi.org/10.2307/1170472</w:t>
        </w:r>
      </w:hyperlink>
      <w:r>
        <w:t xml:space="preserve">.</w:t>
      </w:r>
    </w:p>
    <w:bookmarkEnd w:id="102"/>
    <w:bookmarkStart w:id="103" w:name="ref-plantinga2000"/>
    <w:p>
      <w:pPr>
        <w:pStyle w:val="Bibliography"/>
      </w:pPr>
      <w:r>
        <w:t xml:space="preserve">Plantinga, Alvin. 2000.</w:t>
      </w:r>
      <w:r>
        <w:t xml:space="preserve"> </w:t>
      </w:r>
      <w:r>
        <w:rPr>
          <w:i/>
          <w:iCs/>
        </w:rPr>
        <w:t xml:space="preserve">Warranted Christian Belief</w:t>
      </w:r>
      <w:r>
        <w:t xml:space="preserve">. Oxford University Press.</w:t>
      </w:r>
    </w:p>
    <w:bookmarkEnd w:id="103"/>
    <w:bookmarkStart w:id="105" w:name="ref-posner1982"/>
    <w:p>
      <w:pPr>
        <w:pStyle w:val="Bibliography"/>
      </w:pPr>
      <w:r>
        <w:t xml:space="preserve">Posner, George J., Kenneth A. Strike, Peter W. Hewson, and William A. Gertzog. 1982.</w:t>
      </w:r>
      <w:r>
        <w:t xml:space="preserve"> </w:t>
      </w:r>
      <w:r>
        <w:t xml:space="preserve">“Accommodation of a Scientific Conception: Toward a Theory of Conceptual Change.”</w:t>
      </w:r>
      <w:r>
        <w:t xml:space="preserve"> </w:t>
      </w:r>
      <w:r>
        <w:rPr>
          <w:i/>
          <w:iCs/>
        </w:rPr>
        <w:t xml:space="preserve">Science Education</w:t>
      </w:r>
      <w:r>
        <w:t xml:space="preserve"> </w:t>
      </w:r>
      <w:r>
        <w:t xml:space="preserve">66 (2): 211–27.</w:t>
      </w:r>
      <w:r>
        <w:t xml:space="preserve"> </w:t>
      </w:r>
      <w:hyperlink r:id="rId104">
        <w:r>
          <w:rPr>
            <w:rStyle w:val="Hyperlink"/>
          </w:rPr>
          <w:t xml:space="preserve">https://doi.org/10.1002/sce.3730660207</w:t>
        </w:r>
      </w:hyperlink>
      <w:r>
        <w:t xml:space="preserve">.</w:t>
      </w:r>
    </w:p>
    <w:bookmarkEnd w:id="105"/>
    <w:bookmarkStart w:id="107" w:name="ref-sandoval2016"/>
    <w:p>
      <w:pPr>
        <w:pStyle w:val="Bibliography"/>
      </w:pPr>
      <w:r>
        <w:t xml:space="preserve">Sandoval, William A., Jeffrey A. Greene, and Ivar Bråten. 2016.</w:t>
      </w:r>
      <w:r>
        <w:t xml:space="preserve"> </w:t>
      </w:r>
      <w:r>
        <w:t xml:space="preserve">“Understanding and Promoting Thinking about Knowledge.”</w:t>
      </w:r>
      <w:r>
        <w:t xml:space="preserve"> </w:t>
      </w:r>
      <w:r>
        <w:rPr>
          <w:i/>
          <w:iCs/>
        </w:rPr>
        <w:t xml:space="preserve">Review of Research in Education</w:t>
      </w:r>
      <w:r>
        <w:t xml:space="preserve"> </w:t>
      </w:r>
      <w:r>
        <w:t xml:space="preserve">40 (1): 457–96.</w:t>
      </w:r>
      <w:r>
        <w:t xml:space="preserve"> </w:t>
      </w:r>
      <w:hyperlink r:id="rId106">
        <w:r>
          <w:rPr>
            <w:rStyle w:val="Hyperlink"/>
          </w:rPr>
          <w:t xml:space="preserve">https://doi.org/10.3102/0091732X16669319</w:t>
        </w:r>
      </w:hyperlink>
      <w:r>
        <w:t xml:space="preserve">.</w:t>
      </w:r>
    </w:p>
    <w:bookmarkEnd w:id="107"/>
    <w:bookmarkStart w:id="108" w:name="ref-swinburne2003"/>
    <w:p>
      <w:pPr>
        <w:pStyle w:val="Bibliography"/>
      </w:pPr>
      <w:r>
        <w:t xml:space="preserve">Swinburne, Richard. 2003.</w:t>
      </w:r>
      <w:r>
        <w:t xml:space="preserve"> </w:t>
      </w:r>
      <w:r>
        <w:rPr>
          <w:i/>
          <w:iCs/>
        </w:rPr>
        <w:t xml:space="preserve">The Resurrection of God Incarnate</w:t>
      </w:r>
      <w:r>
        <w:t xml:space="preserve">. Oxford University Press.</w:t>
      </w:r>
    </w:p>
    <w:bookmarkEnd w:id="108"/>
    <w:bookmarkStart w:id="109" w:name="ref-swinburne2004"/>
    <w:p>
      <w:pPr>
        <w:pStyle w:val="Bibliography"/>
      </w:pPr>
      <w:r>
        <w:t xml:space="preserve">Swinburne, Richard. 2004.</w:t>
      </w:r>
      <w:r>
        <w:t xml:space="preserve"> </w:t>
      </w:r>
      <w:r>
        <w:rPr>
          <w:i/>
          <w:iCs/>
        </w:rPr>
        <w:t xml:space="preserve">The Existence of God</w:t>
      </w:r>
      <w:r>
        <w:t xml:space="preserve">. 2nd ed. Oxford University Press.</w:t>
      </w:r>
    </w:p>
    <w:bookmarkEnd w:id="109"/>
    <w:bookmarkStart w:id="111" w:name="ref-wood1976"/>
    <w:p>
      <w:pPr>
        <w:pStyle w:val="Bibliography"/>
      </w:pPr>
      <w:r>
        <w:t xml:space="preserve">Wood, David, Jerome S. Bruner, and Gail Ross. 1976.</w:t>
      </w:r>
      <w:r>
        <w:t xml:space="preserve"> </w:t>
      </w:r>
      <w:r>
        <w:t xml:space="preserve">“The Role of Tutoring in Problem Solving.”</w:t>
      </w:r>
      <w:r>
        <w:t xml:space="preserve"> </w:t>
      </w:r>
      <w:r>
        <w:rPr>
          <w:i/>
          <w:iCs/>
        </w:rPr>
        <w:t xml:space="preserve">Journal of Child Psychology and Psychiatry</w:t>
      </w:r>
      <w:r>
        <w:t xml:space="preserve"> </w:t>
      </w:r>
      <w:r>
        <w:t xml:space="preserve">17 (2): 89–100.</w:t>
      </w:r>
      <w:r>
        <w:t xml:space="preserve"> </w:t>
      </w:r>
      <w:hyperlink r:id="rId110">
        <w:r>
          <w:rPr>
            <w:rStyle w:val="Hyperlink"/>
          </w:rPr>
          <w:t xml:space="preserve">https://doi.org/10.1111/j.1469-7610.1976.tb00381.x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10" Target="media/rId10.png" /><Relationship Type="http://schemas.openxmlformats.org/officeDocument/2006/relationships/hyperlink" Id="rId104" Target="https://doi.org/10.1002/sce.3730660207" TargetMode="External" /><Relationship Type="http://schemas.openxmlformats.org/officeDocument/2006/relationships/hyperlink" Id="rId97" Target="https://doi.org/10.1017/S0140525X10000968" TargetMode="External" /><Relationship Type="http://schemas.openxmlformats.org/officeDocument/2006/relationships/hyperlink" Id="rId91" Target="https://doi.org/10.1017/bpp.2016.2" TargetMode="External" /><Relationship Type="http://schemas.openxmlformats.org/officeDocument/2006/relationships/hyperlink" Id="rId93" Target="https://doi.org/10.1037/0033-2909.108.3.480" TargetMode="External" /><Relationship Type="http://schemas.openxmlformats.org/officeDocument/2006/relationships/hyperlink" Id="rId99" Target="https://doi.org/10.1037/0033-295X.115.2.502" TargetMode="External" /><Relationship Type="http://schemas.openxmlformats.org/officeDocument/2006/relationships/hyperlink" Id="rId82" Target="https://doi.org/10.1037/h0076771" TargetMode="External" /><Relationship Type="http://schemas.openxmlformats.org/officeDocument/2006/relationships/hyperlink" Id="rId86" Target="https://doi.org/10.1080/00461520.2011.587722" TargetMode="External" /><Relationship Type="http://schemas.openxmlformats.org/officeDocument/2006/relationships/hyperlink" Id="rId110" Target="https://doi.org/10.1111/j.1469-7610.1976.tb00381.x" TargetMode="External" /><Relationship Type="http://schemas.openxmlformats.org/officeDocument/2006/relationships/hyperlink" Id="rId101" Target="https://doi.org/10.2307/1170472" TargetMode="External" /><Relationship Type="http://schemas.openxmlformats.org/officeDocument/2006/relationships/hyperlink" Id="rId89" Target="https://doi.org/10.2307/1170620" TargetMode="External" /><Relationship Type="http://schemas.openxmlformats.org/officeDocument/2006/relationships/hyperlink" Id="rId95" Target="https://doi.org/10.2307/1387006" TargetMode="External" /><Relationship Type="http://schemas.openxmlformats.org/officeDocument/2006/relationships/hyperlink" Id="rId84" Target="https://doi.org/10.2307/1387277" TargetMode="External" /><Relationship Type="http://schemas.openxmlformats.org/officeDocument/2006/relationships/hyperlink" Id="rId106" Target="https://doi.org/10.3102/0091732X16669319" TargetMode="External" /><Relationship Type="http://schemas.openxmlformats.org/officeDocument/2006/relationships/hyperlink" Id="rId9" Target="https://orcid.org/0009-0009-3725-8682" TargetMode="External" /><Relationship Type="http://schemas.openxmlformats.org/officeDocument/2006/relationships/hyperlink" Id="rId52" Target="https://xhairs.com/" TargetMode="External" /><Relationship Type="http://schemas.openxmlformats.org/officeDocument/2006/relationships/hyperlink" Id="rId53" Target="https://xhairs.com/apps/belief-overreach-audit/" TargetMode="External" /><Relationship Type="http://schemas.openxmlformats.org/officeDocument/2006/relationships/hyperlink" Id="rId59" Target="https://xhairs.com/apps/falsifiability-field/" TargetMode="External" /><Relationship Type="http://schemas.openxmlformats.org/officeDocument/2006/relationships/hyperlink" Id="rId56" Target="https://xhairs.com/apps/fine-tuning-bridge-audit/" TargetMode="External" /><Relationship Type="http://schemas.openxmlformats.org/officeDocument/2006/relationships/hyperlink" Id="rId62" Target="https://xhairs.com/apps/inductive-symmetry-audit/" TargetMode="External" /><Relationship Type="http://schemas.openxmlformats.org/officeDocument/2006/relationships/hyperlink" Id="rId74" Target="https://xhairs.com/apps/moral-particulars-audit/" TargetMode="External" /><Relationship Type="http://schemas.openxmlformats.org/officeDocument/2006/relationships/hyperlink" Id="rId71" Target="https://xhairs.com/apps/moral-system-stress-test/" TargetMode="External" /><Relationship Type="http://schemas.openxmlformats.org/officeDocument/2006/relationships/hyperlink" Id="rId68" Target="https://xhairs.com/apps/moral-system-threshold/" TargetMode="External" /><Relationship Type="http://schemas.openxmlformats.org/officeDocument/2006/relationships/hyperlink" Id="rId65" Target="https://xhairs.com/apps/resurrection-evidence-audit/" TargetMode="External" /><Relationship Type="http://schemas.openxmlformats.org/officeDocument/2006/relationships/hyperlink" Id="rId77" Target="https://xhairs.com/apps/theism-gradient-audit/app.html" TargetMode="External" /><Relationship Type="http://schemas.openxmlformats.org/officeDocument/2006/relationships/hyperlink" Id="rId79" Target="https://xhairs.com/apps/theism-gradient-audit/docs/deism-theism-gradient-audit-curriculum.pdf" TargetMode="External" /><Relationship Type="http://schemas.openxmlformats.org/officeDocument/2006/relationships/hyperlink" Id="rId78" Target="https://xhairs.com/apps/theism-gradient-audit/docs/deism-theism-gradient-audit-manual.pdf" TargetMode="External" /><Relationship Type="http://schemas.openxmlformats.org/officeDocument/2006/relationships/hyperlink" Id="rId58" Target="https://xhairs.com/assets/curricula/fine-tuning-bridge-audit-curriculum.pdf" TargetMode="External" /><Relationship Type="http://schemas.openxmlformats.org/officeDocument/2006/relationships/hyperlink" Id="rId76" Target="https://xhairs.com/assets/curricula/moral-particulars-audit-curriculum.pdf" TargetMode="External" /><Relationship Type="http://schemas.openxmlformats.org/officeDocument/2006/relationships/hyperlink" Id="rId70" Target="https://xhairs.com/assets/curricula/moral-system-threshold-curriculum-v2.pdf" TargetMode="External" /><Relationship Type="http://schemas.openxmlformats.org/officeDocument/2006/relationships/hyperlink" Id="rId55" Target="https://xhairs.com/assets/manuals/belief-overreach-audit-curriculum.pdf" TargetMode="External" /><Relationship Type="http://schemas.openxmlformats.org/officeDocument/2006/relationships/hyperlink" Id="rId54" Target="https://xhairs.com/assets/manuals/belief-overreach-audit-manual-v2.pdf" TargetMode="External" /><Relationship Type="http://schemas.openxmlformats.org/officeDocument/2006/relationships/hyperlink" Id="rId57" Target="https://xhairs.com/assets/manuals/fine-tuning-bridge-audit-manual.pdf" TargetMode="External" /><Relationship Type="http://schemas.openxmlformats.org/officeDocument/2006/relationships/hyperlink" Id="rId64" Target="https://xhairs.com/assets/manuals/inductive-symmetry-audit-curriculum.pdf" TargetMode="External" /><Relationship Type="http://schemas.openxmlformats.org/officeDocument/2006/relationships/hyperlink" Id="rId63" Target="https://xhairs.com/assets/manuals/inductive-symmetry-audit-manual.pdf" TargetMode="External" /><Relationship Type="http://schemas.openxmlformats.org/officeDocument/2006/relationships/hyperlink" Id="rId75" Target="https://xhairs.com/assets/manuals/moral-particulars-audit-manual-v2.pdf" TargetMode="External" /><Relationship Type="http://schemas.openxmlformats.org/officeDocument/2006/relationships/hyperlink" Id="rId69" Target="https://xhairs.com/assets/manuals/moral-system-threshold-manual-v2.pdf" TargetMode="External" /><Relationship Type="http://schemas.openxmlformats.org/officeDocument/2006/relationships/hyperlink" Id="rId67" Target="https://xhairs.com/assets/manuals/resurrection-evidence-audit-curriculum.pdf" TargetMode="External" /><Relationship Type="http://schemas.openxmlformats.org/officeDocument/2006/relationships/hyperlink" Id="rId66" Target="https://xhairs.com/assets/manuals/resurrection-evidence-audit-manual.pdf" TargetMode="External" /><Relationship Type="http://schemas.openxmlformats.org/officeDocument/2006/relationships/hyperlink" Id="rId61" Target="https://xhairs.com/output/pdf/earthly-promise-test-field-curriculum.pdf" TargetMode="External" /><Relationship Type="http://schemas.openxmlformats.org/officeDocument/2006/relationships/hyperlink" Id="rId60" Target="https://xhairs.com/output/pdf/earthly-promise-test-field-manual.pdf" TargetMode="External" /><Relationship Type="http://schemas.openxmlformats.org/officeDocument/2006/relationships/hyperlink" Id="rId73" Target="https://xhairs.com/output/pdf/moral-system-stress-test-curriculum.pdf" TargetMode="External" /><Relationship Type="http://schemas.openxmlformats.org/officeDocument/2006/relationships/hyperlink" Id="rId72" Target="https://xhairs.com/output/pdf/moral-system-stress-test-manua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doi.org/10.1002/sce.3730660207" TargetMode="External" /><Relationship Type="http://schemas.openxmlformats.org/officeDocument/2006/relationships/hyperlink" Id="rId97" Target="https://doi.org/10.1017/S0140525X10000968" TargetMode="External" /><Relationship Type="http://schemas.openxmlformats.org/officeDocument/2006/relationships/hyperlink" Id="rId91" Target="https://doi.org/10.1017/bpp.2016.2" TargetMode="External" /><Relationship Type="http://schemas.openxmlformats.org/officeDocument/2006/relationships/hyperlink" Id="rId93" Target="https://doi.org/10.1037/0033-2909.108.3.480" TargetMode="External" /><Relationship Type="http://schemas.openxmlformats.org/officeDocument/2006/relationships/hyperlink" Id="rId99" Target="https://doi.org/10.1037/0033-295X.115.2.502" TargetMode="External" /><Relationship Type="http://schemas.openxmlformats.org/officeDocument/2006/relationships/hyperlink" Id="rId82" Target="https://doi.org/10.1037/h0076771" TargetMode="External" /><Relationship Type="http://schemas.openxmlformats.org/officeDocument/2006/relationships/hyperlink" Id="rId86" Target="https://doi.org/10.1080/00461520.2011.587722" TargetMode="External" /><Relationship Type="http://schemas.openxmlformats.org/officeDocument/2006/relationships/hyperlink" Id="rId110" Target="https://doi.org/10.1111/j.1469-7610.1976.tb00381.x" TargetMode="External" /><Relationship Type="http://schemas.openxmlformats.org/officeDocument/2006/relationships/hyperlink" Id="rId101" Target="https://doi.org/10.2307/1170472" TargetMode="External" /><Relationship Type="http://schemas.openxmlformats.org/officeDocument/2006/relationships/hyperlink" Id="rId89" Target="https://doi.org/10.2307/1170620" TargetMode="External" /><Relationship Type="http://schemas.openxmlformats.org/officeDocument/2006/relationships/hyperlink" Id="rId95" Target="https://doi.org/10.2307/1387006" TargetMode="External" /><Relationship Type="http://schemas.openxmlformats.org/officeDocument/2006/relationships/hyperlink" Id="rId84" Target="https://doi.org/10.2307/1387277" TargetMode="External" /><Relationship Type="http://schemas.openxmlformats.org/officeDocument/2006/relationships/hyperlink" Id="rId106" Target="https://doi.org/10.3102/0091732X16669319" TargetMode="External" /><Relationship Type="http://schemas.openxmlformats.org/officeDocument/2006/relationships/hyperlink" Id="rId9" Target="https://orcid.org/0009-0009-3725-8682" TargetMode="External" /><Relationship Type="http://schemas.openxmlformats.org/officeDocument/2006/relationships/hyperlink" Id="rId52" Target="https://xhairs.com/" TargetMode="External" /><Relationship Type="http://schemas.openxmlformats.org/officeDocument/2006/relationships/hyperlink" Id="rId53" Target="https://xhairs.com/apps/belief-overreach-audit/" TargetMode="External" /><Relationship Type="http://schemas.openxmlformats.org/officeDocument/2006/relationships/hyperlink" Id="rId59" Target="https://xhairs.com/apps/falsifiability-field/" TargetMode="External" /><Relationship Type="http://schemas.openxmlformats.org/officeDocument/2006/relationships/hyperlink" Id="rId56" Target="https://xhairs.com/apps/fine-tuning-bridge-audit/" TargetMode="External" /><Relationship Type="http://schemas.openxmlformats.org/officeDocument/2006/relationships/hyperlink" Id="rId62" Target="https://xhairs.com/apps/inductive-symmetry-audit/" TargetMode="External" /><Relationship Type="http://schemas.openxmlformats.org/officeDocument/2006/relationships/hyperlink" Id="rId74" Target="https://xhairs.com/apps/moral-particulars-audit/" TargetMode="External" /><Relationship Type="http://schemas.openxmlformats.org/officeDocument/2006/relationships/hyperlink" Id="rId71" Target="https://xhairs.com/apps/moral-system-stress-test/" TargetMode="External" /><Relationship Type="http://schemas.openxmlformats.org/officeDocument/2006/relationships/hyperlink" Id="rId68" Target="https://xhairs.com/apps/moral-system-threshold/" TargetMode="External" /><Relationship Type="http://schemas.openxmlformats.org/officeDocument/2006/relationships/hyperlink" Id="rId65" Target="https://xhairs.com/apps/resurrection-evidence-audit/" TargetMode="External" /><Relationship Type="http://schemas.openxmlformats.org/officeDocument/2006/relationships/hyperlink" Id="rId77" Target="https://xhairs.com/apps/theism-gradient-audit/app.html" TargetMode="External" /><Relationship Type="http://schemas.openxmlformats.org/officeDocument/2006/relationships/hyperlink" Id="rId79" Target="https://xhairs.com/apps/theism-gradient-audit/docs/deism-theism-gradient-audit-curriculum.pdf" TargetMode="External" /><Relationship Type="http://schemas.openxmlformats.org/officeDocument/2006/relationships/hyperlink" Id="rId78" Target="https://xhairs.com/apps/theism-gradient-audit/docs/deism-theism-gradient-audit-manual.pdf" TargetMode="External" /><Relationship Type="http://schemas.openxmlformats.org/officeDocument/2006/relationships/hyperlink" Id="rId58" Target="https://xhairs.com/assets/curricula/fine-tuning-bridge-audit-curriculum.pdf" TargetMode="External" /><Relationship Type="http://schemas.openxmlformats.org/officeDocument/2006/relationships/hyperlink" Id="rId76" Target="https://xhairs.com/assets/curricula/moral-particulars-audit-curriculum.pdf" TargetMode="External" /><Relationship Type="http://schemas.openxmlformats.org/officeDocument/2006/relationships/hyperlink" Id="rId70" Target="https://xhairs.com/assets/curricula/moral-system-threshold-curriculum-v2.pdf" TargetMode="External" /><Relationship Type="http://schemas.openxmlformats.org/officeDocument/2006/relationships/hyperlink" Id="rId55" Target="https://xhairs.com/assets/manuals/belief-overreach-audit-curriculum.pdf" TargetMode="External" /><Relationship Type="http://schemas.openxmlformats.org/officeDocument/2006/relationships/hyperlink" Id="rId54" Target="https://xhairs.com/assets/manuals/belief-overreach-audit-manual-v2.pdf" TargetMode="External" /><Relationship Type="http://schemas.openxmlformats.org/officeDocument/2006/relationships/hyperlink" Id="rId57" Target="https://xhairs.com/assets/manuals/fine-tuning-bridge-audit-manual.pdf" TargetMode="External" /><Relationship Type="http://schemas.openxmlformats.org/officeDocument/2006/relationships/hyperlink" Id="rId64" Target="https://xhairs.com/assets/manuals/inductive-symmetry-audit-curriculum.pdf" TargetMode="External" /><Relationship Type="http://schemas.openxmlformats.org/officeDocument/2006/relationships/hyperlink" Id="rId63" Target="https://xhairs.com/assets/manuals/inductive-symmetry-audit-manual.pdf" TargetMode="External" /><Relationship Type="http://schemas.openxmlformats.org/officeDocument/2006/relationships/hyperlink" Id="rId75" Target="https://xhairs.com/assets/manuals/moral-particulars-audit-manual-v2.pdf" TargetMode="External" /><Relationship Type="http://schemas.openxmlformats.org/officeDocument/2006/relationships/hyperlink" Id="rId69" Target="https://xhairs.com/assets/manuals/moral-system-threshold-manual-v2.pdf" TargetMode="External" /><Relationship Type="http://schemas.openxmlformats.org/officeDocument/2006/relationships/hyperlink" Id="rId67" Target="https://xhairs.com/assets/manuals/resurrection-evidence-audit-curriculum.pdf" TargetMode="External" /><Relationship Type="http://schemas.openxmlformats.org/officeDocument/2006/relationships/hyperlink" Id="rId66" Target="https://xhairs.com/assets/manuals/resurrection-evidence-audit-manual.pdf" TargetMode="External" /><Relationship Type="http://schemas.openxmlformats.org/officeDocument/2006/relationships/hyperlink" Id="rId61" Target="https://xhairs.com/output/pdf/earthly-promise-test-field-curriculum.pdf" TargetMode="External" /><Relationship Type="http://schemas.openxmlformats.org/officeDocument/2006/relationships/hyperlink" Id="rId60" Target="https://xhairs.com/output/pdf/earthly-promise-test-field-manual.pdf" TargetMode="External" /><Relationship Type="http://schemas.openxmlformats.org/officeDocument/2006/relationships/hyperlink" Id="rId73" Target="https://xhairs.com/output/pdf/moral-system-stress-test-curriculum.pdf" TargetMode="External" /><Relationship Type="http://schemas.openxmlformats.org/officeDocument/2006/relationships/hyperlink" Id="rId72" Target="https://xhairs.com/output/pdf/moral-system-stress-test-manua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Theological Inclination to Defensible Belief: Interactive Audits for Honest Religious Inquiry</dc:title>
  <dc:creator>Phil Stilwell</dc:creator>
  <cp:keywords/>
  <dcterms:created xsi:type="dcterms:W3CDTF">2026-05-17T23:11:18Z</dcterms:created>
  <dcterms:modified xsi:type="dcterms:W3CDTF">2026-05-17T23:11:18Z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2026-05-17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