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rPr>
          <w:rFonts w:ascii="Calibri" w:hAnsi="Calibri" w:eastAsia="Calibri"/>
          <w:b/>
          <w:color w:val="087E8B"/>
          <w:sz w:val="24"/>
        </w:rPr>
        <w:t>Educator  |  Curriculum Designer  |  Academic &amp; Technical Writing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Seattle, Washington</w:t>
      </w:r>
    </w:p>
    <w:p>
      <w:pPr>
        <w:pStyle w:val="CVSummary"/>
      </w:pPr>
      <w:r>
        <w:rPr>
          <w:rFonts w:ascii="Calibri" w:hAnsi="Calibri" w:eastAsia="Calibri"/>
          <w:color w:val="243447"/>
          <w:sz w:val="21"/>
        </w:rPr>
        <w:t>Educator, curriculum designer, and academic writing specialist with more than 25 years of experience across universities, corporations, and government in Japan. Expertise spans graduate-school preparation, technical and academic rewriting, English-medium content instruction, corporate training, and technology-supported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Rewrite technical papers for professors and graduate students at universities in Japan.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Coach students in writing, submission, and presentation for academic work at MIT, Stanford, and programs in Silicon Valley.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Prepare students entering overseas MBA and graduate programs; deliver corporate English training and private Zoom instruction in English and core business concepts.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Teach practical AI technologies and provide individualized life coaching alongside academic and professional-development services.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Led five one-hour sessions each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three twice-weekly, English-medium content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academic writing, critical thinking, English grammar, and other courses. Delivered customized instruction at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critical thinking, negotiation, grammar, vocabulary development, and TOEFL preparation to students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an annual 10-week technical writing course for international graduate students, covering style guides, composition, and best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undergraduate and graduate students macroeconomic concepts; coached students and assessed their economic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Designed and implemented an English-language acquisition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large undergraduate English classes and designed curriculum using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English tailored to the official responsibilities of Prime Minister Hatoyama's cabinet officers.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business professionals at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foundational English courses to students entering the hospitality sector.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Curriculum design; English-medium content instruction; academic writing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Corporate English training; global leadership development; negotiation skills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Instructional technology; AI prompt design; Canva; Google Drive; data analytics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MS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Delivered customized business-English training at more than 100 corporations.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Served for five years as a Speech &amp; Debate Judge at the national Japan Customs Bureau contest; Chief Judge, 2016 - 2017.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Created instructional tools and resources through </w:t>
      </w:r>
      <w:hyperlink r:id="rId12">
        <w:r>
          <w:rPr>
            <w:rFonts w:ascii="Calibri" w:hAnsi="Calibri"/>
            <w:color w:val="087E8B"/>
            <w:sz w:val="20"/>
            <w:b/>
            <w:u w:val="none"/>
          </w:rPr>
          <w:t>NimbleEd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Administers the </w:t>
      </w:r>
      <w:hyperlink r:id="rId13">
        <w:r>
          <w:rPr>
            <w:rFonts w:ascii="Calibri" w:hAnsi="Calibri"/>
            <w:color w:val="087E8B"/>
            <w:sz w:val="20"/>
            <w:b/>
            <w:u w:val="none"/>
          </w:rPr>
          <w:t>Christian Thought Survey</w:t>
        </w:r>
      </w:hyperlink>
      <w:r>
        <w:rPr>
          <w:rFonts w:ascii="Calibri" w:hAnsi="Calibri" w:eastAsia="Calibri"/>
          <w:color w:val="243447"/>
          <w:sz w:val="20"/>
        </w:rPr>
        <w:t>, a personal data-analysis project.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  <w:spacing w:before="160" w:after="80"/>
      </w:pPr>
      <w:r>
        <w:rPr>
          <w:rFonts w:ascii="Calibri" w:hAnsi="Calibri" w:eastAsia="Calibri"/>
          <w:b/>
          <w:color w:val="087E8B"/>
          <w:sz w:val="26"/>
        </w:rPr>
        <w:t>SELECTED WEBSITES</w:t>
      </w:r>
    </w:p>
    <w:p>
      <w:pPr>
        <w:pStyle w:val="CVSummary"/>
        <w:keepLines/>
        <w:tabs>
          <w:tab w:pos="2520" w:val="lef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olor w:val="17324D"/>
          <w:sz w:val="18"/>
        </w:rPr>
        <w:t>Academic profiles</w:t>
      </w:r>
      <w:r>
        <w:rPr>
          <w:rFonts w:ascii="Calibri" w:hAnsi="Calibri" w:eastAsia="Calibri"/>
          <w:b w:val="0"/>
          <w:i w:val="0"/>
          <w:color w:val="5D6A75"/>
          <w:sz w:val="18"/>
        </w:rPr>
        <w:tab/>
      </w:r>
      <w:hyperlink r:id="rId16">
        <w:r>
          <w:rPr>
            <w:rFonts w:ascii="Calibri" w:hAnsi="Calibri"/>
            <w:color w:val="087E8B"/>
            <w:sz w:val="18"/>
            <w:b/>
            <w:u w:val="none"/>
          </w:rPr>
          <w:t>Academia.edu profile</w:t>
        </w:r>
      </w:hyperlink>
      <w:r>
        <w:rPr>
          <w:rFonts w:ascii="Calibri" w:hAnsi="Calibri" w:eastAsia="Calibri"/>
          <w:b w:val="0"/>
          <w:i w:val="0"/>
          <w:color w:val="5D6A75"/>
          <w:sz w:val="18"/>
        </w:rPr>
        <w:t xml:space="preserve">  |  </w:t>
      </w:r>
      <w:hyperlink r:id="rId17">
        <w:r>
          <w:rPr>
            <w:rFonts w:ascii="Calibri" w:hAnsi="Calibri"/>
            <w:color w:val="087E8B"/>
            <w:sz w:val="18"/>
            <w:b/>
            <w:u w:val="none"/>
          </w:rPr>
          <w:t>PhilPeople profile</w:t>
        </w:r>
      </w:hyperlink>
    </w:p>
    <w:p>
      <w:pPr>
        <w:pStyle w:val="CVSummary"/>
        <w:keepLines/>
        <w:tabs>
          <w:tab w:pos="2520" w:val="lef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olor w:val="17324D"/>
          <w:sz w:val="18"/>
        </w:rPr>
        <w:t>ESL</w:t>
      </w:r>
      <w:r>
        <w:rPr>
          <w:rFonts w:ascii="Calibri" w:hAnsi="Calibri" w:eastAsia="Calibri"/>
          <w:b w:val="0"/>
          <w:i w:val="0"/>
          <w:color w:val="5D6A75"/>
          <w:sz w:val="18"/>
        </w:rPr>
        <w:tab/>
      </w:r>
      <w:hyperlink r:id="rId18">
        <w:r>
          <w:rPr>
            <w:rFonts w:ascii="Calibri" w:hAnsi="Calibri"/>
            <w:color w:val="087E8B"/>
            <w:sz w:val="18"/>
            <w:b/>
            <w:u w:val="none"/>
          </w:rPr>
          <w:t>englishladder.com</w:t>
        </w:r>
      </w:hyperlink>
      <w:r>
        <w:rPr>
          <w:rFonts w:ascii="Calibri" w:hAnsi="Calibri" w:eastAsia="Calibri"/>
          <w:b w:val="0"/>
          <w:i w:val="0"/>
          <w:color w:val="5D6A75"/>
          <w:sz w:val="18"/>
        </w:rPr>
        <w:t xml:space="preserve">  |  </w:t>
      </w:r>
      <w:hyperlink r:id="rId19">
        <w:r>
          <w:rPr>
            <w:rFonts w:ascii="Calibri" w:hAnsi="Calibri"/>
            <w:color w:val="087E8B"/>
            <w:sz w:val="18"/>
            <w:b/>
            <w:u w:val="none"/>
          </w:rPr>
          <w:t>englishroad.com</w:t>
        </w:r>
      </w:hyperlink>
    </w:p>
    <w:p>
      <w:pPr>
        <w:pStyle w:val="CVSummary"/>
        <w:keepLines/>
        <w:tabs>
          <w:tab w:pos="2520" w:val="lef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olor w:val="17324D"/>
          <w:sz w:val="18"/>
        </w:rPr>
        <w:t>Critical thinking</w:t>
      </w:r>
      <w:r>
        <w:rPr>
          <w:rFonts w:ascii="Calibri" w:hAnsi="Calibri" w:eastAsia="Calibri"/>
          <w:b w:val="0"/>
          <w:i w:val="0"/>
          <w:color w:val="5D6A75"/>
          <w:sz w:val="18"/>
        </w:rPr>
        <w:tab/>
      </w:r>
      <w:hyperlink r:id="rId20">
        <w:r>
          <w:rPr>
            <w:rFonts w:ascii="Calibri" w:hAnsi="Calibri"/>
            <w:color w:val="087E8B"/>
            <w:sz w:val="18"/>
            <w:b/>
            <w:u w:val="none"/>
          </w:rPr>
          <w:t>xixteen.com</w:t>
        </w:r>
      </w:hyperlink>
      <w:r>
        <w:rPr>
          <w:rFonts w:ascii="Calibri" w:hAnsi="Calibri" w:eastAsia="Calibri"/>
          <w:b w:val="0"/>
          <w:i w:val="0"/>
          <w:color w:val="5D6A75"/>
          <w:sz w:val="18"/>
        </w:rPr>
        <w:t xml:space="preserve">  |  </w:t>
      </w:r>
      <w:hyperlink r:id="rId21">
        <w:r>
          <w:rPr>
            <w:rFonts w:ascii="Calibri" w:hAnsi="Calibri"/>
            <w:color w:val="087E8B"/>
            <w:sz w:val="18"/>
            <w:b/>
            <w:u w:val="none"/>
          </w:rPr>
          <w:t>logfall.com</w:t>
        </w:r>
      </w:hyperlink>
      <w:r>
        <w:rPr>
          <w:rFonts w:ascii="Calibri" w:hAnsi="Calibri" w:eastAsia="Calibri"/>
          <w:b w:val="0"/>
          <w:i w:val="0"/>
          <w:color w:val="5D6A75"/>
          <w:sz w:val="18"/>
        </w:rPr>
        <w:t xml:space="preserve">  |  </w:t>
      </w:r>
      <w:hyperlink r:id="rId22">
        <w:r>
          <w:rPr>
            <w:rFonts w:ascii="Calibri" w:hAnsi="Calibri"/>
            <w:color w:val="087E8B"/>
            <w:sz w:val="18"/>
            <w:b/>
            <w:u w:val="none"/>
          </w:rPr>
          <w:t>cogbias.site</w:t>
        </w:r>
      </w:hyperlink>
    </w:p>
    <w:p>
      <w:pPr>
        <w:pStyle w:val="CVSummary"/>
        <w:keepLines/>
        <w:tabs>
          <w:tab w:pos="2520" w:val="lef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olor w:val="17324D"/>
          <w:sz w:val="18"/>
        </w:rPr>
        <w:t>Academic / philosophy</w:t>
      </w:r>
      <w:r>
        <w:rPr>
          <w:rFonts w:ascii="Calibri" w:hAnsi="Calibri" w:eastAsia="Calibri"/>
          <w:b w:val="0"/>
          <w:i w:val="0"/>
          <w:color w:val="5D6A75"/>
          <w:sz w:val="18"/>
        </w:rPr>
        <w:tab/>
      </w:r>
      <w:hyperlink r:id="rId23">
        <w:r>
          <w:rPr>
            <w:rFonts w:ascii="Calibri" w:hAnsi="Calibri"/>
            <w:color w:val="087E8B"/>
            <w:sz w:val="18"/>
            <w:b/>
            <w:u w:val="none"/>
          </w:rPr>
          <w:t>credencing.com</w:t>
        </w:r>
      </w:hyperlink>
      <w:r>
        <w:rPr>
          <w:rFonts w:ascii="Calibri" w:hAnsi="Calibri" w:eastAsia="Calibri"/>
          <w:b w:val="0"/>
          <w:i w:val="0"/>
          <w:color w:val="5D6A75"/>
          <w:sz w:val="18"/>
        </w:rPr>
        <w:t xml:space="preserve">  |  </w:t>
      </w:r>
      <w:hyperlink r:id="rId24">
        <w:r>
          <w:rPr>
            <w:rFonts w:ascii="Calibri" w:hAnsi="Calibri"/>
            <w:color w:val="087E8B"/>
            <w:sz w:val="18"/>
            <w:b/>
            <w:u w:val="none"/>
          </w:rPr>
          <w:t>byteseismic.com</w:t>
        </w:r>
      </w:hyperlink>
    </w:p>
    <w:p>
      <w:pPr>
        <w:pStyle w:val="CVSummary"/>
        <w:keepLines/>
        <w:tabs>
          <w:tab w:pos="2520" w:val="lef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olor w:val="17324D"/>
          <w:sz w:val="18"/>
        </w:rPr>
        <w:t>AI production examples</w:t>
      </w:r>
      <w:r>
        <w:rPr>
          <w:rFonts w:ascii="Calibri" w:hAnsi="Calibri" w:eastAsia="Calibri"/>
          <w:b w:val="0"/>
          <w:i w:val="0"/>
          <w:color w:val="5D6A75"/>
          <w:sz w:val="18"/>
        </w:rPr>
        <w:tab/>
      </w:r>
      <w:hyperlink r:id="rId25">
        <w:r>
          <w:rPr>
            <w:rFonts w:ascii="Calibri" w:hAnsi="Calibri"/>
            <w:color w:val="087E8B"/>
            <w:sz w:val="18"/>
            <w:b/>
            <w:u w:val="none"/>
          </w:rPr>
          <w:t>paperclipalypse.com</w:t>
        </w:r>
      </w:hyperlink>
      <w:r>
        <w:rPr>
          <w:rFonts w:ascii="Calibri" w:hAnsi="Calibri" w:eastAsia="Calibri"/>
          <w:b w:val="0"/>
          <w:i w:val="0"/>
          <w:color w:val="5D6A75"/>
          <w:sz w:val="18"/>
        </w:rPr>
        <w:t xml:space="preserve">  |  </w:t>
      </w:r>
      <w:hyperlink r:id="rId26">
        <w:r>
          <w:rPr>
            <w:rFonts w:ascii="Calibri" w:hAnsi="Calibri"/>
            <w:color w:val="087E8B"/>
            <w:sz w:val="18"/>
            <w:b/>
            <w:u w:val="none"/>
          </w:rPr>
          <w:t>onreason.com</w:t>
        </w:r>
      </w:hyperlink>
      <w:r>
        <w:rPr>
          <w:rFonts w:ascii="Calibri" w:hAnsi="Calibri" w:eastAsia="Calibri"/>
          <w:b w:val="0"/>
          <w:i w:val="0"/>
          <w:color w:val="5D6A75"/>
          <w:sz w:val="18"/>
        </w:rPr>
        <w:t xml:space="preserve">  |  </w:t>
      </w:r>
      <w:hyperlink r:id="rId27">
        <w:r>
          <w:rPr>
            <w:rFonts w:ascii="Calibri" w:hAnsi="Calibri"/>
            <w:color w:val="087E8B"/>
            <w:sz w:val="18"/>
            <w:b/>
            <w:u w:val="none"/>
          </w:rPr>
          <w:t>slugfester.com</w:t>
        </w:r>
      </w:hyperlink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English-instruction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Philosophy of science  |  Epistemology, induction, and credencing  |  Critical thinking  |  Economic models  |  Cognitive science  |  Trends in Christian thought and practice  |  Cycling  |  Community event organizing</w:t>
      </w:r>
    </w:p>
    <w:sectPr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2" Type="http://schemas.openxmlformats.org/officeDocument/2006/relationships/hyperlink" Target="https://nimbleed.wordpress.com/" TargetMode="External"/><Relationship Id="rId13" Type="http://schemas.openxmlformats.org/officeDocument/2006/relationships/hyperlink" Target="https://christianthoughtsurvey.wordpress.com/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Relationship Id="rId16" Type="http://schemas.openxmlformats.org/officeDocument/2006/relationships/hyperlink" Target="https://suj.academia.edu/PhilStilwell" TargetMode="External"/><Relationship Id="rId17" Type="http://schemas.openxmlformats.org/officeDocument/2006/relationships/hyperlink" Target="https://philpeople.org/profiles/phil-stilwell-1" TargetMode="External"/><Relationship Id="rId18" Type="http://schemas.openxmlformats.org/officeDocument/2006/relationships/hyperlink" Target="https://englishladder.com" TargetMode="External"/><Relationship Id="rId19" Type="http://schemas.openxmlformats.org/officeDocument/2006/relationships/hyperlink" Target="https://englishroad.com" TargetMode="External"/><Relationship Id="rId20" Type="http://schemas.openxmlformats.org/officeDocument/2006/relationships/hyperlink" Target="https://xixteen.com" TargetMode="External"/><Relationship Id="rId21" Type="http://schemas.openxmlformats.org/officeDocument/2006/relationships/hyperlink" Target="https://logfall.com" TargetMode="External"/><Relationship Id="rId22" Type="http://schemas.openxmlformats.org/officeDocument/2006/relationships/hyperlink" Target="https://cogbias.site" TargetMode="External"/><Relationship Id="rId23" Type="http://schemas.openxmlformats.org/officeDocument/2006/relationships/hyperlink" Target="https://credencing.com" TargetMode="External"/><Relationship Id="rId24" Type="http://schemas.openxmlformats.org/officeDocument/2006/relationships/hyperlink" Target="https://byteseismic.com" TargetMode="External"/><Relationship Id="rId25" Type="http://schemas.openxmlformats.org/officeDocument/2006/relationships/hyperlink" Target="https://paperclipalypse.com" TargetMode="External"/><Relationship Id="rId26" Type="http://schemas.openxmlformats.org/officeDocument/2006/relationships/hyperlink" Target="https://onreason.com" TargetMode="External"/><Relationship Id="rId27" Type="http://schemas.openxmlformats.org/officeDocument/2006/relationships/hyperlink" Target="https://slugfest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