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0"/>
        </w:rPr>
        <w:t>智慧物业费抵扣流量合作会谈要点</w:t>
      </w:r>
    </w:p>
    <w:p>
      <w:pPr>
        <w:jc w:val="center"/>
      </w:pPr>
      <w:r>
        <w:rPr>
          <w:rFonts w:ascii="Microsoft YaHei" w:hAnsi="Microsoft YaHei" w:eastAsia="Microsoft YaHei"/>
          <w:color w:val="505050"/>
          <w:sz w:val="21"/>
        </w:rPr>
        <w:t>面向电商联盟、广告联盟、本地生活、运营商、银行保险与游戏任务平台</w:t>
      </w:r>
    </w:p>
    <w:p>
      <w:pPr>
        <w:pStyle w:val="Heading1"/>
      </w:pPr>
      <w:r>
        <w:t>一、项目一句话介绍</w:t>
      </w:r>
    </w:p>
    <w:p>
      <w:r>
        <w:t>本项目将智慧物业平台中的物业费缴费、报修、公告、办事等高信任场景，包装为“物业费抵扣任务入口”，为电商联盟、广告联盟和品牌合作方提供真实、实名、可分层运营的社区业主流量。平台负责入口曝光、点击跳转、渠道标识和数据复盘；合作方负责任务设计、广告投放、用户核验、奖励发放和抵扣核算。</w:t>
      </w:r>
    </w:p>
    <w:p>
      <w:pPr>
        <w:pStyle w:val="Heading1"/>
      </w:pPr>
      <w:r>
        <w:t>二、核心合作砝码</w:t>
      </w:r>
    </w:p>
    <w:p>
      <w:pPr>
        <w:pStyle w:val="ListBullet"/>
      </w:pPr>
      <w:r>
        <w:t>2000万+实名业主用户：家庭消费属性强，身份真实，适合拉新、首单、宽带、保险、家政、本地生活等转化。</w:t>
      </w:r>
    </w:p>
    <w:p>
      <w:pPr>
        <w:pStyle w:val="ListBullet"/>
      </w:pPr>
      <w:r>
        <w:t>15000+覆盖小区：具备社区密度和本地生活触达能力，可按城市、小区、物业类型分层试点。</w:t>
      </w:r>
    </w:p>
    <w:p>
      <w:pPr>
        <w:pStyle w:val="ListBullet"/>
      </w:pPr>
      <w:r>
        <w:t>6000+物业公司资源：可通过物业公司协同宣传物业费抵扣活动，提高活动可信度和触达效率。</w:t>
      </w:r>
    </w:p>
    <w:p>
      <w:pPr>
        <w:pStyle w:val="ListBullet"/>
      </w:pPr>
      <w:r>
        <w:t>高信任场景：物业费缴费、报修、投诉、公告、办事完成页等场景，转化意愿强于普通信息流广告。</w:t>
      </w:r>
    </w:p>
    <w:p>
      <w:pPr>
        <w:pStyle w:val="Heading1"/>
      </w:pPr>
      <w:r>
        <w:t>三、对外沟通开场话术</w:t>
      </w:r>
    </w:p>
    <w:p>
      <w:r>
        <w:t>我们是智慧物业平台，覆盖约2000万实名业主、15000个小区和6000家物业公司。现在准备开放“物业费抵扣任务入口”，为电商联盟和广告联盟提供真实社区业主流量。平台负责物业费场景曝光和跳转导流，贵方负责任务设计、广告投放、用户核验、奖励发放和抵扣核算。希望先以CPA/CPS方式做一个试点活动，验证注册、首单、下单或广告互动转化效果。</w:t>
      </w:r>
    </w:p>
    <w:p>
      <w:pPr>
        <w:pStyle w:val="Heading1"/>
      </w:pPr>
      <w:r>
        <w:t>四、建议优先联系对象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类别</w:t>
            </w:r>
          </w:p>
        </w:tc>
        <w:tc>
          <w:tcPr>
            <w:tcW w:type="dxa" w:w="3360"/>
          </w:tcPr>
          <w:p>
            <w:r>
              <w:t>代表合作方</w:t>
            </w:r>
          </w:p>
        </w:tc>
        <w:tc>
          <w:tcPr>
            <w:tcW w:type="dxa" w:w="3360"/>
          </w:tcPr>
          <w:p>
            <w:r>
              <w:t>适合任务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电商联盟</w:t>
            </w:r>
          </w:p>
        </w:tc>
        <w:tc>
          <w:tcPr>
            <w:tcW w:type="dxa" w:w="3360"/>
            <w:vAlign w:val="center"/>
          </w:tcPr>
          <w:p>
            <w:r>
              <w:t>淘宝联盟、京东联盟、多多进宝、抖音精选联盟、快手好物联盟</w:t>
            </w:r>
          </w:p>
        </w:tc>
        <w:tc>
          <w:tcPr>
            <w:tcW w:type="dxa" w:w="3360"/>
            <w:vAlign w:val="center"/>
          </w:tcPr>
          <w:p>
            <w:r>
              <w:t>领券、下单、首单、加购、会员拉新</w:t>
            </w:r>
          </w:p>
        </w:tc>
      </w:tr>
      <w:tr>
        <w:tc>
          <w:tcPr>
            <w:tcW w:type="dxa" w:w="3360"/>
            <w:vAlign w:val="center"/>
          </w:tcPr>
          <w:p>
            <w:r>
              <w:t>广告联盟</w:t>
            </w:r>
          </w:p>
        </w:tc>
        <w:tc>
          <w:tcPr>
            <w:tcW w:type="dxa" w:w="3360"/>
            <w:vAlign w:val="center"/>
          </w:tcPr>
          <w:p>
            <w:r>
              <w:t>巨量引擎/穿山甲、腾讯广告/优量汇、快手磁力引擎、百度联盟</w:t>
            </w:r>
          </w:p>
        </w:tc>
        <w:tc>
          <w:tcPr>
            <w:tcW w:type="dxa" w:w="3360"/>
            <w:vAlign w:val="center"/>
          </w:tcPr>
          <w:p>
            <w:r>
              <w:t>看广告、下载App、注册、试玩、互动任务</w:t>
            </w:r>
          </w:p>
        </w:tc>
      </w:tr>
      <w:tr>
        <w:tc>
          <w:tcPr>
            <w:tcW w:type="dxa" w:w="3360"/>
            <w:vAlign w:val="center"/>
          </w:tcPr>
          <w:p>
            <w:r>
              <w:t>本地生活</w:t>
            </w:r>
          </w:p>
        </w:tc>
        <w:tc>
          <w:tcPr>
            <w:tcW w:type="dxa" w:w="3360"/>
            <w:vAlign w:val="center"/>
          </w:tcPr>
          <w:p>
            <w:r>
              <w:t>美团、京东到家、饿了么、盒马、家政维修、搬家配送</w:t>
            </w:r>
          </w:p>
        </w:tc>
        <w:tc>
          <w:tcPr>
            <w:tcW w:type="dxa" w:w="3360"/>
            <w:vAlign w:val="center"/>
          </w:tcPr>
          <w:p>
            <w:r>
              <w:t>外卖、生鲜、药品、日用品、家政维修首单</w:t>
            </w:r>
          </w:p>
        </w:tc>
      </w:tr>
      <w:tr>
        <w:tc>
          <w:tcPr>
            <w:tcW w:type="dxa" w:w="3360"/>
            <w:vAlign w:val="center"/>
          </w:tcPr>
          <w:p>
            <w:r>
              <w:t>运营商</w:t>
            </w:r>
          </w:p>
        </w:tc>
        <w:tc>
          <w:tcPr>
            <w:tcW w:type="dxa" w:w="3360"/>
            <w:vAlign w:val="center"/>
          </w:tcPr>
          <w:p>
            <w:r>
              <w:t>中国移动、中国电信、中国联通、中国广电</w:t>
            </w:r>
          </w:p>
        </w:tc>
        <w:tc>
          <w:tcPr>
            <w:tcW w:type="dxa" w:w="3360"/>
            <w:vAlign w:val="center"/>
          </w:tcPr>
          <w:p>
            <w:r>
              <w:t>宽带开户、套餐办理、话费充值、家庭网络</w:t>
            </w:r>
          </w:p>
        </w:tc>
      </w:tr>
      <w:tr>
        <w:tc>
          <w:tcPr>
            <w:tcW w:type="dxa" w:w="3360"/>
            <w:vAlign w:val="center"/>
          </w:tcPr>
          <w:p>
            <w:r>
              <w:t>银行保险</w:t>
            </w:r>
          </w:p>
        </w:tc>
        <w:tc>
          <w:tcPr>
            <w:tcW w:type="dxa" w:w="3360"/>
            <w:vAlign w:val="center"/>
          </w:tcPr>
          <w:p>
            <w:r>
              <w:t>支付宝、微信支付、云闪付、平安、人保、众安、泰康等</w:t>
            </w:r>
          </w:p>
        </w:tc>
        <w:tc>
          <w:tcPr>
            <w:tcW w:type="dxa" w:w="3360"/>
            <w:vAlign w:val="center"/>
          </w:tcPr>
          <w:p>
            <w:r>
              <w:t>绑卡、缴费立减、信用卡、家财险、老人险、车险</w:t>
            </w:r>
          </w:p>
        </w:tc>
      </w:tr>
    </w:tbl>
    <w:p>
      <w:pPr>
        <w:pStyle w:val="Heading1"/>
      </w:pPr>
      <w:r>
        <w:t>五、合作方负责事项</w:t>
      </w:r>
    </w:p>
    <w:p>
      <w:pPr>
        <w:pStyle w:val="ListBullet"/>
      </w:pPr>
      <w:r>
        <w:t>任务设计：明确任务类型、奖励金额、完成条件、有效期、退款和作弊处理。</w:t>
      </w:r>
    </w:p>
    <w:p>
      <w:pPr>
        <w:pStyle w:val="ListBullet"/>
      </w:pPr>
      <w:r>
        <w:t>广告投放：提供广告预算、活动素材、落地页、任务规则和转化目标。</w:t>
      </w:r>
    </w:p>
    <w:p>
      <w:pPr>
        <w:pStyle w:val="ListBullet"/>
      </w:pPr>
      <w:r>
        <w:t>用户核验：判断注册、首单、下单、支付、退款、作弊等状态，并通过渠道参数或API回传结果。</w:t>
      </w:r>
    </w:p>
    <w:p>
      <w:pPr>
        <w:pStyle w:val="ListBullet"/>
      </w:pPr>
      <w:r>
        <w:t>奖励发放：向业主发放红包、券、购物补贴、话费券、物业费抵扣权益或其他奖励。</w:t>
      </w:r>
    </w:p>
    <w:p>
      <w:pPr>
        <w:pStyle w:val="ListBullet"/>
      </w:pPr>
      <w:r>
        <w:t>抵扣核算：由合作方完成任务奖励和抵扣核算，平台不垫资、不承担奖励兑付责任。</w:t>
      </w:r>
    </w:p>
    <w:p>
      <w:pPr>
        <w:pStyle w:val="Heading1"/>
      </w:pPr>
      <w:r>
        <w:t>六、平台负责事项</w:t>
      </w:r>
    </w:p>
    <w:p>
      <w:pPr>
        <w:pStyle w:val="ListBullet"/>
      </w:pPr>
      <w:r>
        <w:t>提供物业费、报修、公告、办事等高信任入口。</w:t>
      </w:r>
    </w:p>
    <w:p>
      <w:pPr>
        <w:pStyle w:val="ListBullet"/>
      </w:pPr>
      <w:r>
        <w:t>提供活动专区、Banner、弹窗、短信/公众号/小程序触达等曝光资源。</w:t>
      </w:r>
    </w:p>
    <w:p>
      <w:pPr>
        <w:pStyle w:val="ListBullet"/>
      </w:pPr>
      <w:r>
        <w:t>提供渠道链接、渠道包、匿名用户标识、城市/小区/活动维度统计。</w:t>
      </w:r>
    </w:p>
    <w:p>
      <w:pPr>
        <w:pStyle w:val="ListBullet"/>
      </w:pPr>
      <w:r>
        <w:t>协同物业公司做活动告知和业主触达。</w:t>
      </w:r>
    </w:p>
    <w:p>
      <w:pPr>
        <w:pStyle w:val="ListBullet"/>
      </w:pPr>
      <w:r>
        <w:t>提供活动数据复盘：曝光、点击、跳转、回传、转化、投诉等指标。</w:t>
      </w:r>
    </w:p>
    <w:p>
      <w:pPr>
        <w:pStyle w:val="Heading1"/>
      </w:pPr>
      <w:r>
        <w:t>七、可谈结算方式</w:t>
      </w:r>
    </w:p>
    <w:p>
      <w:pPr>
        <w:pStyle w:val="ListBullet"/>
      </w:pPr>
      <w:r>
        <w:t>CPA拉新费：注册、首单、绑卡、开户、投保、App激活等按有效动作结算。</w:t>
      </w:r>
    </w:p>
    <w:p>
      <w:pPr>
        <w:pStyle w:val="ListBullet"/>
      </w:pPr>
      <w:r>
        <w:t>CPS订单佣金：电商、本地生活、家政维修、宽带套餐等按成交金额分成。</w:t>
      </w:r>
    </w:p>
    <w:p>
      <w:pPr>
        <w:pStyle w:val="ListBullet"/>
      </w:pPr>
      <w:r>
        <w:t>广告入口费：缴费页、福利专区、弹窗、Banner等按周期或曝光售卖。</w:t>
      </w:r>
    </w:p>
    <w:p>
      <w:pPr>
        <w:pStyle w:val="ListBullet"/>
      </w:pPr>
      <w:r>
        <w:t>联合活动服务费：平台提供活动包装、物业协同、专题页配置、用户触达和数据复盘服务。</w:t>
      </w:r>
    </w:p>
    <w:p>
      <w:pPr>
        <w:pStyle w:val="ListBullet"/>
      </w:pPr>
      <w:r>
        <w:t>保底+分成：大型合作方可采用基础入口费加效果分成。</w:t>
      </w:r>
    </w:p>
    <w:p>
      <w:pPr>
        <w:pStyle w:val="Heading1"/>
      </w:pPr>
      <w:r>
        <w:t>八、试点合作建议</w:t>
      </w:r>
    </w:p>
    <w:p>
      <w:pPr>
        <w:pStyle w:val="ListBullet"/>
      </w:pPr>
      <w:r>
        <w:t>先选择若干城市和代表性小区，覆盖不同物业费标准和小区类型。</w:t>
      </w:r>
    </w:p>
    <w:p>
      <w:pPr>
        <w:pStyle w:val="ListBullet"/>
      </w:pPr>
      <w:r>
        <w:t>首批上线三类任务：电商首单/下单、广告互动/试玩、运营商/银行高客单任务。</w:t>
      </w:r>
    </w:p>
    <w:p>
      <w:pPr>
        <w:pStyle w:val="ListBullet"/>
      </w:pPr>
      <w:r>
        <w:t>合作周期以活动期为单位，期满复盘曝光、点击、跳转、注册、首单、GMV、有效CPA、投诉率。</w:t>
      </w:r>
    </w:p>
    <w:p>
      <w:pPr>
        <w:pStyle w:val="ListBullet"/>
      </w:pPr>
      <w:r>
        <w:t>跑通后扩大城市和小区范围，并争取年度框架合作或独家入口合作。</w:t>
      </w:r>
    </w:p>
    <w:p>
      <w:pPr>
        <w:pStyle w:val="Heading1"/>
      </w:pPr>
      <w:r>
        <w:t>九、会谈问题清单</w:t>
      </w:r>
    </w:p>
    <w:p>
      <w:pPr>
        <w:pStyle w:val="ListBullet"/>
      </w:pPr>
      <w:r>
        <w:t>贵方目前可提供哪些任务类型？注册、首单、下单、观看、试玩、绑卡、开户还是投保？</w:t>
      </w:r>
    </w:p>
    <w:p>
      <w:pPr>
        <w:pStyle w:val="ListBullet"/>
      </w:pPr>
      <w:r>
        <w:t>每类任务的结算单价、预算规模和结算周期是什么？</w:t>
      </w:r>
    </w:p>
    <w:p>
      <w:pPr>
        <w:pStyle w:val="ListBullet"/>
      </w:pPr>
      <w:r>
        <w:t>是否支持渠道链接、H5、小程序跳转、渠道包或API回传？</w:t>
      </w:r>
    </w:p>
    <w:p>
      <w:pPr>
        <w:pStyle w:val="ListBullet"/>
      </w:pPr>
      <w:r>
        <w:t>奖励由谁发放？发放形式是什么？是否可包装为物业费抵扣权益？</w:t>
      </w:r>
    </w:p>
    <w:p>
      <w:pPr>
        <w:pStyle w:val="ListBullet"/>
      </w:pPr>
      <w:r>
        <w:t>用户投诉、奖励未到账、退款、作弊分别由谁处理？</w:t>
      </w:r>
    </w:p>
    <w:p>
      <w:pPr>
        <w:pStyle w:val="ListBullet"/>
      </w:pPr>
      <w:r>
        <w:t>是否可以先做城市/小区试点？需要哪些技术和商务材料？</w:t>
      </w:r>
    </w:p>
    <w:p>
      <w:pPr>
        <w:pStyle w:val="Heading1"/>
      </w:pPr>
      <w:r>
        <w:t>十、协议边界与合规要点</w:t>
      </w:r>
    </w:p>
    <w:p>
      <w:pPr>
        <w:pStyle w:val="ListBullet"/>
      </w:pPr>
      <w:r>
        <w:t>平台不得直接售卖业主个人信息，合作中尽量采用匿名ID和渠道参数。</w:t>
      </w:r>
    </w:p>
    <w:p>
      <w:pPr>
        <w:pStyle w:val="ListBullet"/>
      </w:pPr>
      <w:r>
        <w:t>商业活动必须与监管/公益服务区分展示，不得强制用户参与任务。</w:t>
      </w:r>
    </w:p>
    <w:p>
      <w:pPr>
        <w:pStyle w:val="ListBullet"/>
      </w:pPr>
      <w:r>
        <w:t>不得使用“官方补贴”“政府背书”等容易误导用户的表述，除非确有授权。</w:t>
      </w:r>
    </w:p>
    <w:p>
      <w:pPr>
        <w:pStyle w:val="ListBullet"/>
      </w:pPr>
      <w:r>
        <w:t>合作方须对任务真实性、奖励发放、售后纠纷和广告合规负责。</w:t>
      </w:r>
    </w:p>
    <w:p>
      <w:pPr>
        <w:pStyle w:val="ListBullet"/>
      </w:pPr>
      <w:r>
        <w:t>平台只承诺入口曝光和导流，不承诺最终转化量，除非双方另行签订保量协议。</w:t>
      </w:r>
    </w:p>
    <w:p>
      <w:pPr>
        <w:pStyle w:val="Heading1"/>
      </w:pPr>
      <w:r>
        <w:t>十一、会后待办</w:t>
      </w:r>
    </w:p>
    <w:p>
      <w:pPr>
        <w:pStyle w:val="ListBullet"/>
      </w:pPr>
      <w:r>
        <w:t>整理合作方可提供的任务清单和报价。</w:t>
      </w:r>
    </w:p>
    <w:p>
      <w:pPr>
        <w:pStyle w:val="ListBullet"/>
      </w:pPr>
      <w:r>
        <w:t>确认首批试点城市、小区和入口位置。</w:t>
      </w:r>
    </w:p>
    <w:p>
      <w:pPr>
        <w:pStyle w:val="ListBullet"/>
      </w:pPr>
      <w:r>
        <w:t>确认技术接入方式：链接、渠道包、H5、小程序或API回传。</w:t>
      </w:r>
    </w:p>
    <w:p>
      <w:pPr>
        <w:pStyle w:val="ListBullet"/>
      </w:pPr>
      <w:r>
        <w:t>确认活动素材、页面文案、奖励规则和客服责任边界。</w:t>
      </w:r>
    </w:p>
    <w:p>
      <w:pPr>
        <w:pStyle w:val="ListBullet"/>
      </w:pPr>
      <w:r>
        <w:t>形成试点合作备忘录和正式合作协议。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