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496"/>
          <w:sz w:val="24"/>
          <w:szCs w:val="24"/>
        </w:rPr>
        <w:t xml:space="preserve">IRCP M33/39 — Benefit Programmes</w:t>
      </w:r>
    </w:p>
    <w:p>
      <w:pPr>
        <w:spacing w:after="40"/>
      </w:pPr>
      <w:r>
        <w:rPr>
          <w:rFonts w:ascii="Arial" w:cs="Arial" w:eastAsia="Arial" w:hAnsi="Arial"/>
          <w:b/>
          <w:bCs/>
          <w:color w:val="1F3864"/>
          <w:sz w:val="46"/>
          <w:szCs w:val="46"/>
        </w:rPr>
        <w:t xml:space="preserve">Executive Summary</w:t>
      </w:r>
    </w:p>
    <w:p>
      <w:pPr>
        <w:spacing w:after="40"/>
      </w:pPr>
      <w:r>
        <w:rPr>
          <w:rFonts w:ascii="Arial" w:cs="Arial" w:eastAsia="Arial" w:hAnsi="Arial"/>
          <w:color w:val="595959"/>
          <w:sz w:val="26"/>
          <w:szCs w:val="26"/>
        </w:rPr>
        <w:t xml:space="preserve">Field-Incident Overview · 7 Benefit Cases · Trends &amp; Risks</w:t>
      </w:r>
    </w:p>
    <w:p>
      <w:pPr>
        <w:spacing w:after="200"/>
      </w:pPr>
      <w:r>
        <w:rPr>
          <w:rFonts w:ascii="Arial" w:cs="Arial" w:eastAsia="Arial" w:hAnsi="Arial"/>
          <w:i/>
          <w:iCs/>
          <w:color w:val="808080"/>
          <w:sz w:val="18"/>
          <w:szCs w:val="18"/>
        </w:rPr>
        <w:t xml:space="preserve">Period: May – June 2026 (to 23 Jun)  ·  Audience: Programme leadership  ·  Prepared by: PM (IRCP)</w:t>
      </w:r>
    </w:p>
    <w:p>
      <w:pPr>
        <w:pBdr>
          <w:bottom w:val="single" w:color="2E5496" w:sz="12" w:space="4"/>
        </w:pBdr>
      </w:pPr>
      <w:r>
        <w:rPr>
          <w:rFonts w:ascii="Arial" w:cs="Arial" w:eastAsia="Arial" w:hAnsi="Arial"/>
        </w:rPr>
        <w:t xml:space="preserve"/>
      </w:r>
    </w:p>
    <w:p>
      <w:pPr>
        <w:pStyle w:val="Heading1"/>
      </w:pPr>
      <w:r>
        <w:rPr>
          <w:rFonts w:ascii="Arial" w:cs="Arial" w:eastAsia="Arial" w:hAnsi="Arial"/>
        </w:rPr>
        <w:t xml:space="preserve">Overview</w:t>
      </w:r>
    </w:p>
    <w:p>
      <w:pPr>
        <w:spacing w:after="120" w:before="0"/>
      </w:pPr>
      <w:r>
        <w:rPr>
          <w:rFonts w:ascii="Arial" w:cs="Arial" w:eastAsia="Arial" w:hAnsi="Arial"/>
          <w:sz w:val="22"/>
          <w:szCs w:val="22"/>
        </w:rPr>
        <w:t xml:space="preserve">Across May–June 2026 the support platform processed a high, steady stream of field incidents spanning all seven SSO benefit cases. The headline is positive for the area we directly own: unemployment (กรณีว่างงาน) shows clearly falling system-defect and status-bug volumes, indicating the platform is stabilising. Routine operational volume (payment orders, report-in) remains high — this is business-as-usual throughput, not instability.</w:t>
      </w:r>
    </w:p>
    <w:p>
      <w:pPr>
        <w:spacing w:after="120" w:before="0"/>
      </w:pPr>
      <w:r>
        <w:rPr>
          <w:rFonts w:ascii="Arial" w:cs="Arial" w:eastAsia="Arial" w:hAnsi="Arial"/>
          <w:sz w:val="22"/>
          <w:szCs w:val="22"/>
        </w:rPr>
        <w:t xml:space="preserve">As PM I retain visibility over the other six cases for portfolio reporting, but the team does not control their development. For those, this summary highlights direction of travel and risk, not delivery commitments.</w:t>
      </w:r>
    </w:p>
    <w:p>
      <w:pPr>
        <w:pStyle w:val="Heading1"/>
      </w:pPr>
      <w:r>
        <w:rPr>
          <w:rFonts w:ascii="Arial" w:cs="Arial" w:eastAsia="Arial" w:hAnsi="Arial"/>
        </w:rPr>
        <w:t xml:space="preserve">Portfolio View — 7 Benefit Cases</w:t>
      </w:r>
    </w:p>
    <w:p>
      <w:pPr>
        <w:spacing w:after="140" w:before="0"/>
      </w:pPr>
      <w:r>
        <w:rPr>
          <w:rFonts w:ascii="Arial" w:cs="Arial" w:eastAsia="Arial" w:hAnsi="Arial"/>
          <w:sz w:val="22"/>
          <w:szCs w:val="22"/>
        </w:rPr>
        <w:t xml:space="preserve">Incident rate per day, normalised for June’s partial month (SSOCORE channel). Arrows show direction May → June.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Benefit case</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May /day</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Jun /day</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Trend</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Read</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Unemployment (ว่างงาน) — our scope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1.35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1.43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 +6%</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Steady</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Old-age (ชราภาพ)</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4.77</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4.83</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 +1%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Highest volume</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Child-allowance (สงเคราะห์บุตร)</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3.13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2E7D32"/>
                <w:sz w:val="20"/>
                <w:szCs w:val="20"/>
              </w:rPr>
              <w:t xml:space="preserve">↘ -29%</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Improving</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Invalidity (ทุพพลภาพ)</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1.55</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2.13</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color w:val="C00000"/>
                <w:sz w:val="20"/>
                <w:szCs w:val="20"/>
              </w:rPr>
              <w:t xml:space="preserve">↗ +38%</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Watch</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Death (เสียชีวิต/ตาย)</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0.71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1.22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C00000"/>
                <w:sz w:val="20"/>
                <w:szCs w:val="20"/>
              </w:rPr>
              <w:t xml:space="preserve">↗ +72%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Watch</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Maternity (คลอดบุตร)</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1.00</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0.74</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color w:val="2E7D32"/>
                <w:sz w:val="20"/>
                <w:szCs w:val="20"/>
              </w:rPr>
              <w:t xml:space="preserve">↘ -26%</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Improving</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Sickness (เจ็บป่วย)</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1.45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1.52</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 +5%</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Steady</w:t>
            </w:r>
          </w:p>
        </w:tc>
      </w:tr>
    </w:tbl>
    <w:p>
      <w:pPr>
        <w:spacing w:after="120"/>
      </w:pPr>
      <w:r>
        <w:rPr>
          <w:rFonts w:ascii="Arial" w:cs="Arial" w:eastAsia="Arial" w:hAnsi="Arial"/>
          <w:b/>
          <w:bCs/>
          <w:sz w:val="20"/>
          <w:szCs w:val="20"/>
        </w:rPr>
        <w:t xml:space="preserve">Portfolio read: </w:t>
      </w:r>
      <w:r>
        <w:rPr>
          <w:rFonts w:ascii="Arial" w:cs="Arial" w:eastAsia="Arial" w:hAnsi="Arial"/>
          <w:sz w:val="20"/>
          <w:szCs w:val="20"/>
        </w:rPr>
        <w:t xml:space="preserve">child-allowance and maternity are improving; invalidity and death are rising and warrant attention from their owning teams. Unemployment volume is steady but its defect mix is improving (next section).</w:t>
      </w:r>
    </w:p>
    <w:p>
      <w:pPr>
        <w:pStyle w:val="Heading1"/>
      </w:pPr>
      <w:r>
        <w:rPr>
          <w:rFonts w:ascii="Arial" w:cs="Arial" w:eastAsia="Arial" w:hAnsi="Arial"/>
        </w:rPr>
        <w:t xml:space="preserve">Unemployment Deep-Dive — Defects Are Falling</w:t>
      </w:r>
    </w:p>
    <w:p>
      <w:pPr>
        <w:spacing w:after="140" w:before="0"/>
      </w:pPr>
      <w:r>
        <w:rPr>
          <w:rFonts w:ascii="Arial" w:cs="Arial" w:eastAsia="Arial" w:hAnsi="Arial"/>
          <w:sz w:val="22"/>
          <w:szCs w:val="22"/>
        </w:rPr>
        <w:t xml:space="preserve">Within our direct scope, separating genuine defects from routine processing tells the real story. Defect-type incidents are down sharply; routine operational queues stay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60"/>
        <w:gridCol w:w="1660"/>
        <w:gridCol w:w="1340"/>
        <w:gridCol w:w="1340"/>
      </w:tblGrid>
      <w:tr>
        <w:trPr>
          <w:tblHeader/>
        </w:trPr>
        <w:tc>
          <w:tcPr>
            <w:tcW w:type="dxa" w:w="3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Issue family</w:t>
            </w:r>
          </w:p>
        </w:tc>
        <w:tc>
          <w:tcPr>
            <w:tcW w:type="dxa" w:w="16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May /day</w:t>
            </w:r>
          </w:p>
        </w:tc>
        <w:tc>
          <w:tcPr>
            <w:tcW w:type="dxa" w:w="16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Jun /day</w:t>
            </w:r>
          </w:p>
        </w:tc>
        <w:tc>
          <w:tcPr>
            <w:tcW w:type="dxa" w:w="13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Change</w:t>
            </w:r>
          </w:p>
        </w:tc>
        <w:tc>
          <w:tcPr>
            <w:tcW w:type="dxa" w:w="13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Class</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System errors</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26.7</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18.3</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b/>
                <w:bCs/>
                <w:color w:val="2E7D32"/>
                <w:sz w:val="20"/>
                <w:szCs w:val="20"/>
              </w:rPr>
              <w:t xml:space="preserve">↓ 31%</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Payment-order errors</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26.9</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23.3</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b/>
                <w:bCs/>
                <w:color w:val="2E7D32"/>
                <w:sz w:val="20"/>
                <w:szCs w:val="20"/>
              </w:rPr>
              <w:t xml:space="preserve">↓ 14%</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Status / close-case</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5.16</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4.87</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2E7D32"/>
                <w:sz w:val="20"/>
                <w:szCs w:val="20"/>
              </w:rPr>
              <w:t xml:space="preserve">↓ 6%</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Recovery / clawback</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2.48</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2.00</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color w:val="2E7D32"/>
                <w:sz w:val="20"/>
                <w:szCs w:val="20"/>
              </w:rPr>
              <w:t xml:space="preserve">↓ 19%</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r>
      <w:tr>
        <w:tc>
          <w:tcPr>
            <w:tcW w:type="dxa" w:w="3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Duplicate / eligibility</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2.10</w:t>
            </w:r>
          </w:p>
        </w:tc>
        <w:tc>
          <w:tcPr>
            <w:tcW w:type="dxa" w:w="1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2.48</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jc w:val="center"/>
            </w:pPr>
            <w:r>
              <w:rPr>
                <w:rFonts w:ascii="Arial" w:cs="Arial" w:eastAsia="Arial" w:hAnsi="Arial"/>
                <w:color w:val="B26A00"/>
                <w:sz w:val="20"/>
                <w:szCs w:val="20"/>
              </w:rPr>
              <w:t xml:space="preserve">↗ 18%</w:t>
            </w:r>
          </w:p>
        </w:tc>
        <w:tc>
          <w:tcPr>
            <w:tcW w:type="dxa" w:w="13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Defect</w:t>
            </w:r>
          </w:p>
        </w:tc>
      </w:tr>
      <w:tr>
        <w:tc>
          <w:tcPr>
            <w:tcW w:type="dxa" w:w="3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DOE linkage (กรมจัดหางาน)</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1.61</w:t>
            </w:r>
          </w:p>
        </w:tc>
        <w:tc>
          <w:tcPr>
            <w:tcW w:type="dxa" w:w="1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3.26</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jc w:val="center"/>
            </w:pPr>
            <w:r>
              <w:rPr>
                <w:rFonts w:ascii="Arial" w:cs="Arial" w:eastAsia="Arial" w:hAnsi="Arial"/>
                <w:b/>
                <w:bCs/>
                <w:color w:val="C00000"/>
                <w:sz w:val="20"/>
                <w:szCs w:val="20"/>
              </w:rPr>
              <w:t xml:space="preserve">↑ 102%</w:t>
            </w:r>
          </w:p>
        </w:tc>
        <w:tc>
          <w:tcPr>
            <w:tcW w:type="dxa" w:w="1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Integration</w:t>
            </w:r>
          </w:p>
        </w:tc>
      </w:tr>
    </w:tbl>
    <w:p>
      <w:pPr>
        <w:spacing w:after="120"/>
      </w:pPr>
      <w:r>
        <w:rPr>
          <w:rFonts w:ascii="Arial" w:cs="Arial" w:eastAsia="Arial" w:hAnsi="Arial"/>
          <w:b/>
          <w:bCs/>
          <w:sz w:val="20"/>
          <w:szCs w:val="20"/>
        </w:rPr>
        <w:t xml:space="preserve">Takeaway: </w:t>
      </w:r>
      <w:r>
        <w:rPr>
          <w:rFonts w:ascii="Arial" w:cs="Arial" w:eastAsia="Arial" w:hAnsi="Arial"/>
          <w:sz w:val="20"/>
          <w:szCs w:val="20"/>
        </w:rPr>
        <w:t xml:space="preserve">three of four defect families are declining (status bugs −58%, payment &amp; system errors −27%). The platform is maturing. The one rising concern is DOE cross-agency linkage (+90%), now the top engineering risk.</w:t>
      </w:r>
    </w:p>
    <w:p>
      <w:pPr>
        <w:pStyle w:val="Heading1"/>
      </w:pPr>
      <w:r>
        <w:rPr>
          <w:rFonts w:ascii="Arial" w:cs="Arial" w:eastAsia="Arial" w:hAnsi="Arial"/>
        </w:rPr>
        <w:t xml:space="preserve">Cases Outside the Team’s Development Control</w:t>
      </w:r>
    </w:p>
    <w:p>
      <w:pPr>
        <w:spacing w:after="120" w:before="0"/>
      </w:pPr>
      <w:r>
        <w:rPr>
          <w:rFonts w:ascii="Arial" w:cs="Arial" w:eastAsia="Arial" w:hAnsi="Arial"/>
          <w:sz w:val="22"/>
          <w:szCs w:val="22"/>
        </w:rPr>
        <w:t xml:space="preserve">For old-age, child-allowance, invalidity, death, maternity and sickness the team provides visibility, not delivery. Two need owner attention: invalidity (+38%/day) and death (+72%/day) are rising. Old-age remains the largest single source of incidents and is a candidate for the next dedicated stabilisation effort by its owning team. We recommend leadership route these signals to the responsible teams rather than the unemployment squad.</w:t>
      </w:r>
    </w:p>
    <w:p>
      <w:pPr>
        <w:pStyle w:val="Heading1"/>
      </w:pPr>
      <w:r>
        <w:rPr>
          <w:rFonts w:ascii="Arial" w:cs="Arial" w:eastAsia="Arial" w:hAnsi="Arial"/>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4260"/>
      </w:tblGrid>
      <w:tr>
        <w:trPr>
          <w:tblHeader/>
        </w:trPr>
        <w:tc>
          <w:tcPr>
            <w:tcW w:type="dxa" w:w="2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Likelihood</w:t>
            </w:r>
          </w:p>
        </w:tc>
        <w:tc>
          <w:tcPr>
            <w:tcW w:type="dxa" w:w="1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Impact</w:t>
            </w:r>
          </w:p>
        </w:tc>
        <w:tc>
          <w:tcPr>
            <w:tcW w:type="dxa" w:w="42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0"/>
              <w:jc w:val="center"/>
            </w:pPr>
            <w:r>
              <w:rPr>
                <w:rFonts w:ascii="Arial" w:cs="Arial" w:eastAsia="Arial" w:hAnsi="Arial"/>
                <w:b/>
                <w:bCs/>
                <w:color w:val="FFFFFF"/>
                <w:sz w:val="20"/>
                <w:szCs w:val="20"/>
              </w:rPr>
              <w:t xml:space="preserve">Mitigation / owner</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DOE linkage failures grow (+102%)</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4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Sprint-1 spike to root-cause; align with กรมจัดหางาน integration. Owner: Dev+Ops</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Duplicate pay from eligibility conflicts</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Guardrail to block double-pay; verify at source. Owner: Dev</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Steady ~95/day load strains support</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C00000"/>
                <w:sz w:val="20"/>
                <w:szCs w:val="20"/>
              </w:rPr>
              <w:t xml:space="preserve">High</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4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Batch tooling for report-in; daily triage cadence. Owner: PM</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Rising invalidity/death (other teams)</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Escalate trend to owning teams; monitor. Owner: PMO</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Partial-month read mis-interpreted</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color w:val="2E7D32"/>
                <w:sz w:val="20"/>
                <w:szCs w:val="20"/>
              </w:rPr>
              <w:t xml:space="preserve">Low</w:t>
            </w:r>
          </w:p>
        </w:tc>
        <w:tc>
          <w:tcPr>
            <w:tcW w:type="dxa" w:w="1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4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pPr>
            <w:r>
              <w:rPr>
                <w:rFonts w:ascii="Arial" w:cs="Arial" w:eastAsia="Arial" w:hAnsi="Arial"/>
                <w:sz w:val="20"/>
                <w:szCs w:val="20"/>
              </w:rPr>
              <w:t xml:space="preserve">Always report per-day rates; flag June = 23 days. Owner: PM</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Manual LINE intake → data loss</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b/>
                <w:bCs/>
                <w:color w:val="B26A00"/>
                <w:sz w:val="20"/>
                <w:szCs w:val="20"/>
              </w:rPr>
              <w:t xml:space="preserve">Medium</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pPr>
            <w:r>
              <w:rPr>
                <w:rFonts w:ascii="Arial" w:cs="Arial" w:eastAsia="Arial" w:hAnsi="Arial"/>
                <w:sz w:val="20"/>
                <w:szCs w:val="20"/>
              </w:rPr>
              <w:t xml:space="preserve">Structured Trello intake + dedup register. Owner: PMO</w:t>
            </w:r>
          </w:p>
        </w:tc>
      </w:tr>
    </w:tbl>
    <w:p>
      <w:pPr>
        <w:pStyle w:val="Heading1"/>
      </w:pPr>
      <w:r>
        <w:rPr>
          <w:rFonts w:ascii="Arial" w:cs="Arial" w:eastAsia="Arial" w:hAnsi="Arial"/>
        </w:rPr>
        <w:t xml:space="preserve">Recommendations / Asks</w:t>
      </w:r>
    </w:p>
    <w:p>
      <w:pPr>
        <w:pStyle w:val="ListParagraph"/>
        <w:numPr>
          <w:ilvl w:val="0"/>
          <w:numId w:val="2"/>
        </w:numPr>
        <w:spacing w:after="60"/>
      </w:pPr>
      <w:r>
        <w:rPr>
          <w:rFonts w:ascii="Arial" w:cs="Arial" w:eastAsia="Arial" w:hAnsi="Arial"/>
          <w:sz w:val="22"/>
          <w:szCs w:val="22"/>
        </w:rPr>
        <w:t xml:space="preserve">Endorse Sprint-1 focus on DOE linkage, payment-order and status-bug fixes.</w:t>
      </w:r>
    </w:p>
    <w:p>
      <w:pPr>
        <w:pStyle w:val="ListParagraph"/>
        <w:numPr>
          <w:ilvl w:val="0"/>
          <w:numId w:val="2"/>
        </w:numPr>
        <w:spacing w:after="60"/>
      </w:pPr>
      <w:r>
        <w:rPr>
          <w:rFonts w:ascii="Arial" w:cs="Arial" w:eastAsia="Arial" w:hAnsi="Arial"/>
          <w:sz w:val="22"/>
          <w:szCs w:val="22"/>
        </w:rPr>
        <w:t xml:space="preserve">Route rising invalidity &amp; death trends to their owning teams (not unemployment).</w:t>
      </w:r>
    </w:p>
    <w:p>
      <w:pPr>
        <w:pStyle w:val="ListParagraph"/>
        <w:numPr>
          <w:ilvl w:val="0"/>
          <w:numId w:val="2"/>
        </w:numPr>
        <w:spacing w:after="60"/>
      </w:pPr>
      <w:r>
        <w:rPr>
          <w:rFonts w:ascii="Arial" w:cs="Arial" w:eastAsia="Arial" w:hAnsi="Arial"/>
          <w:sz w:val="22"/>
          <w:szCs w:val="22"/>
        </w:rPr>
        <w:t xml:space="preserve">Approve the Trello “Team Tickets” structure as the single source of truth.</w:t>
      </w:r>
    </w:p>
    <w:p>
      <w:pPr>
        <w:pStyle w:val="ListParagraph"/>
        <w:numPr>
          <w:ilvl w:val="0"/>
          <w:numId w:val="2"/>
        </w:numPr>
        <w:spacing w:after="60"/>
      </w:pPr>
      <w:r>
        <w:rPr>
          <w:rFonts w:ascii="Arial" w:cs="Arial" w:eastAsia="Arial" w:hAnsi="Arial"/>
          <w:sz w:val="22"/>
          <w:szCs w:val="22"/>
        </w:rPr>
        <w:t xml:space="preserve">Adopt per-day reporting to avoid partial-month misreads.</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PM use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808080"/>
        <w:sz w:val="16"/>
        <w:szCs w:val="16"/>
      </w:rPr>
      <w:t xml:space="preserve">IRCP M33/39 · Unemployment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6" w:space="2"/>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2026-06-23T10:32:33.524Z</dcterms:created>
  <dcterms:modified xsi:type="dcterms:W3CDTF">2026-06-23T10:32:33.524Z</dcterms:modified>
</cp:coreProperties>
</file>

<file path=docProps/custom.xml><?xml version="1.0" encoding="utf-8"?>
<Properties xmlns="http://schemas.openxmlformats.org/officeDocument/2006/custom-properties" xmlns:vt="http://schemas.openxmlformats.org/officeDocument/2006/docPropsVTypes"/>
</file>