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E5496"/>
          <w:sz w:val="24"/>
          <w:szCs w:val="24"/>
        </w:rPr>
        <w:t xml:space="preserve">IRCP M33/39</w:t>
      </w:r>
    </w:p>
    <w:p>
      <w:pPr>
        <w:spacing w:after="40"/>
      </w:pPr>
      <w:r>
        <w:rPr>
          <w:rFonts w:ascii="Arial" w:cs="Arial" w:eastAsia="Arial" w:hAnsi="Arial"/>
          <w:b/>
          <w:bCs/>
          <w:color w:val="1F3864"/>
          <w:sz w:val="44"/>
          <w:szCs w:val="44"/>
        </w:rPr>
        <w:t xml:space="preserve">PM Action Plan &amp; Sprint Plan</w:t>
      </w:r>
    </w:p>
    <w:p>
      <w:pPr>
        <w:spacing w:after="40"/>
      </w:pPr>
      <w:r>
        <w:rPr>
          <w:rFonts w:ascii="Arial" w:cs="Arial" w:eastAsia="Arial" w:hAnsi="Arial"/>
          <w:color w:val="595959"/>
          <w:sz w:val="26"/>
          <w:szCs w:val="26"/>
        </w:rPr>
        <w:t xml:space="preserve">Unemployment Benefit (กรณีว่างงาน) — Incident Management</w:t>
      </w:r>
    </w:p>
    <w:p>
      <w:pPr>
        <w:spacing w:after="200"/>
      </w:pPr>
      <w:r>
        <w:rPr>
          <w:rFonts w:ascii="Arial" w:cs="Arial" w:eastAsia="Arial" w:hAnsi="Arial"/>
          <w:i/>
          <w:iCs/>
          <w:color w:val="808080"/>
          <w:sz w:val="18"/>
          <w:szCs w:val="18"/>
        </w:rPr>
        <w:t xml:space="preserve">Data window: 1 May – 23 June 2026  ·  Source: LINE field-incident channels  ·  Prepared by: PM (IRCP)</w:t>
      </w:r>
    </w:p>
    <w:p>
      <w:pPr>
        <w:pBdr>
          <w:bottom w:val="single" w:color="2E5496" w:sz="12" w:space="4"/>
        </w:pBdr>
      </w:pPr>
      <w:r>
        <w:rPr>
          <w:rFonts w:ascii="Arial" w:cs="Arial" w:eastAsia="Arial" w:hAnsi="Arial"/>
        </w:rPr>
        <w:t xml:space="preserve"/>
      </w:r>
    </w:p>
    <w:p>
      <w:pPr>
        <w:pStyle w:val="Heading1"/>
      </w:pPr>
      <w:r>
        <w:rPr>
          <w:rFonts w:ascii="Arial" w:cs="Arial" w:eastAsia="Arial" w:hAnsi="Arial"/>
        </w:rPr>
        <w:t xml:space="preserve">1. Purpose &amp; Scope</w:t>
      </w:r>
    </w:p>
    <w:p>
      <w:pPr>
        <w:spacing w:after="120" w:before="0"/>
      </w:pPr>
      <w:r>
        <w:rPr>
          <w:rFonts w:ascii="Arial" w:cs="Arial" w:eastAsia="Arial" w:hAnsi="Arial"/>
          <w:sz w:val="22"/>
          <w:szCs w:val="22"/>
        </w:rPr>
        <w:t xml:space="preserve">This plan operationalises how the team triages, assigns, resolves and tracks unemployment-benefit incidents raised by field offices (สปส.) over LINE. Unemployment is the team’s direct development and support scope; the companion Executive Summary covers the other six benefit cases at portfolio level.</w:t>
      </w:r>
    </w:p>
    <w:p>
      <w:pPr>
        <w:spacing w:after="120"/>
      </w:pPr>
      <w:r>
        <w:rPr>
          <w:rFonts w:ascii="Arial" w:cs="Arial" w:eastAsia="Arial" w:hAnsi="Arial"/>
          <w:sz w:val="22"/>
          <w:szCs w:val="22"/>
        </w:rPr>
        <w:t xml:space="preserve">Boundary (Human–AI SDLC): </w:t>
      </w:r>
      <w:r>
        <w:rPr>
          <w:rFonts w:ascii="Arial" w:cs="Arial" w:eastAsia="Arial" w:hAnsi="Arial"/>
          <w:sz w:val="22"/>
          <w:szCs w:val="22"/>
        </w:rPr>
        <w:t xml:space="preserve">the team owns design, build, fix and resolution of unemployment defects; AI/PMO owns intake structuring, classification, routing and logging; business owners (สปส. / กองสิทธิ) own case meaning and final acceptance.</w:t>
      </w:r>
    </w:p>
    <w:p>
      <w:pPr>
        <w:pStyle w:val="Heading1"/>
      </w:pPr>
      <w:r>
        <w:rPr>
          <w:rFonts w:ascii="Arial" w:cs="Arial" w:eastAsia="Arial" w:hAnsi="Arial"/>
        </w:rPr>
        <w:t xml:space="preserve">2. Current-State Snapshot</w:t>
      </w:r>
    </w:p>
    <w:p>
      <w:pPr>
        <w:spacing w:after="140" w:before="0"/>
      </w:pPr>
      <w:r>
        <w:rPr>
          <w:rFonts w:ascii="Arial" w:cs="Arial" w:eastAsia="Arial" w:hAnsi="Arial"/>
          <w:sz w:val="22"/>
          <w:szCs w:val="22"/>
        </w:rPr>
        <w:t xml:space="preserve">Over the 54-day window the unemployment channel handled a high, steady operational load. Volume is essentially flat month-on-month (≈95 requests/day), while genuine system defects are falling sharply (system errors −31% per day) — a signal the platform is stabilising even as business-as-usual processing continues.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Metric</w:t>
            </w:r>
          </w:p>
        </w:tc>
        <w:tc>
          <w:tcPr>
            <w:tcW w:type="dxa" w:w="208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May</w:t>
            </w:r>
          </w:p>
        </w:tc>
        <w:tc>
          <w:tcPr>
            <w:tcW w:type="dxa" w:w="208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Jun (1–23)</w:t>
            </w:r>
          </w:p>
        </w:tc>
        <w:tc>
          <w:tcPr>
            <w:tcW w:type="dxa" w:w="208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Read</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Total requests logged</w:t>
            </w:r>
          </w:p>
        </w:tc>
        <w:tc>
          <w:tcPr>
            <w:tcW w:type="dxa" w:w="2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jc w:val="center"/>
            </w:pPr>
            <w:r>
              <w:rPr>
                <w:rFonts w:ascii="Arial" w:cs="Arial" w:eastAsia="Arial" w:hAnsi="Arial"/>
                <w:sz w:val="20"/>
                <w:szCs w:val="20"/>
              </w:rPr>
              <w:t xml:space="preserve">2,974</w:t>
            </w:r>
          </w:p>
        </w:tc>
        <w:tc>
          <w:tcPr>
            <w:tcW w:type="dxa" w:w="2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jc w:val="center"/>
            </w:pPr>
            <w:r>
              <w:rPr>
                <w:rFonts w:ascii="Arial" w:cs="Arial" w:eastAsia="Arial" w:hAnsi="Arial"/>
                <w:sz w:val="20"/>
                <w:szCs w:val="20"/>
              </w:rPr>
              <w:t xml:space="preserve">2,170</w:t>
            </w:r>
          </w:p>
        </w:tc>
        <w:tc>
          <w:tcPr>
            <w:tcW w:type="dxa" w:w="2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jc w:val="center"/>
            </w:pPr>
            <w:r>
              <w:rPr>
                <w:rFonts w:ascii="Arial" w:cs="Arial" w:eastAsia="Arial" w:hAnsi="Arial"/>
                <w:color w:val="B26A00"/>
                <w:sz w:val="20"/>
                <w:szCs w:val="20"/>
              </w:rPr>
              <w:t xml:space="preserve">Steady</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Requests per day</w:t>
            </w:r>
          </w:p>
        </w:tc>
        <w:tc>
          <w:tcPr>
            <w:tcW w:type="dxa" w:w="20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jc w:val="center"/>
            </w:pPr>
            <w:r>
              <w:rPr>
                <w:rFonts w:ascii="Arial" w:cs="Arial" w:eastAsia="Arial" w:hAnsi="Arial"/>
                <w:sz w:val="20"/>
                <w:szCs w:val="20"/>
              </w:rPr>
              <w:t xml:space="preserve">95.9</w:t>
            </w:r>
          </w:p>
        </w:tc>
        <w:tc>
          <w:tcPr>
            <w:tcW w:type="dxa" w:w="20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jc w:val="center"/>
            </w:pPr>
            <w:r>
              <w:rPr>
                <w:rFonts w:ascii="Arial" w:cs="Arial" w:eastAsia="Arial" w:hAnsi="Arial"/>
                <w:sz w:val="20"/>
                <w:szCs w:val="20"/>
              </w:rPr>
              <w:t xml:space="preserve">94.3</w:t>
            </w:r>
          </w:p>
        </w:tc>
        <w:tc>
          <w:tcPr>
            <w:tcW w:type="dxa" w:w="20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jc w:val="center"/>
            </w:pPr>
            <w:r>
              <w:rPr>
                <w:rFonts w:ascii="Arial" w:cs="Arial" w:eastAsia="Arial" w:hAnsi="Arial"/>
                <w:color w:val="B26A00"/>
                <w:sz w:val="20"/>
                <w:szCs w:val="20"/>
              </w:rPr>
              <w:t xml:space="preserve">Flat</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Unique ผปต./citizens</w:t>
            </w:r>
          </w:p>
        </w:tc>
        <w:tc>
          <w:tcPr>
            <w:tcW w:type="dxa" w:w="2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default"/>
            </w:r>
          </w:p>
        </w:tc>
        <w:tc>
          <w:tcPr>
            <w:tcW w:type="dxa" w:w="2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default"/>
            </w:r>
          </w:p>
        </w:tc>
        <w:tc>
          <w:tcPr>
            <w:tcW w:type="dxa" w:w="2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jc w:val="center"/>
            </w:pPr>
            <w:r>
              <w:rPr>
                <w:rFonts w:ascii="Arial" w:cs="Arial" w:eastAsia="Arial" w:hAnsi="Arial"/>
                <w:sz w:val="20"/>
                <w:szCs w:val="20"/>
              </w:rPr>
              <w:t xml:space="preserve">4,651 in window</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Unique เลขรับแจ้ง tickets</w:t>
            </w:r>
          </w:p>
        </w:tc>
        <w:tc>
          <w:tcPr>
            <w:tcW w:type="dxa" w:w="20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default"/>
            </w:r>
          </w:p>
        </w:tc>
        <w:tc>
          <w:tcPr>
            <w:tcW w:type="dxa" w:w="20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default"/>
            </w:r>
          </w:p>
        </w:tc>
        <w:tc>
          <w:tcPr>
            <w:tcW w:type="dxa" w:w="20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jc w:val="center"/>
            </w:pPr>
            <w:r>
              <w:rPr>
                <w:rFonts w:ascii="Arial" w:cs="Arial" w:eastAsia="Arial" w:hAnsi="Arial"/>
                <w:sz w:val="20"/>
                <w:szCs w:val="20"/>
              </w:rPr>
              <w:t xml:space="preserve">1,123 in window</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System errors / day</w:t>
            </w:r>
          </w:p>
        </w:tc>
        <w:tc>
          <w:tcPr>
            <w:tcW w:type="dxa" w:w="2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26.7</w:t>
            </w:r>
          </w:p>
        </w:tc>
        <w:tc>
          <w:tcPr>
            <w:tcW w:type="dxa" w:w="2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18.3</w:t>
            </w:r>
          </w:p>
        </w:tc>
        <w:tc>
          <w:tcPr>
            <w:tcW w:type="dxa" w:w="2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jc w:val="center"/>
            </w:pPr>
            <w:r>
              <w:rPr>
                <w:rFonts w:ascii="Arial" w:cs="Arial" w:eastAsia="Arial" w:hAnsi="Arial"/>
                <w:b/>
                <w:bCs/>
                <w:color w:val="2E7D32"/>
                <w:sz w:val="20"/>
                <w:szCs w:val="20"/>
              </w:rPr>
              <w:t xml:space="preserve">↓ 31%</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Payment-order errors / day</w:t>
            </w:r>
          </w:p>
        </w:tc>
        <w:tc>
          <w:tcPr>
            <w:tcW w:type="dxa" w:w="20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26.9</w:t>
            </w:r>
          </w:p>
        </w:tc>
        <w:tc>
          <w:tcPr>
            <w:tcW w:type="dxa" w:w="20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23.3</w:t>
            </w:r>
          </w:p>
        </w:tc>
        <w:tc>
          <w:tcPr>
            <w:tcW w:type="dxa" w:w="20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jc w:val="center"/>
            </w:pPr>
            <w:r>
              <w:rPr>
                <w:rFonts w:ascii="Arial" w:cs="Arial" w:eastAsia="Arial" w:hAnsi="Arial"/>
                <w:b/>
                <w:bCs/>
                <w:color w:val="2E7D32"/>
                <w:sz w:val="20"/>
                <w:szCs w:val="20"/>
              </w:rPr>
              <w:t xml:space="preserve">↓ 14%</w:t>
            </w:r>
          </w:p>
        </w:tc>
      </w:tr>
    </w:tbl>
    <w:p>
      <w:pPr>
        <w:spacing w:after="60"/>
      </w:pPr>
      <w:r>
        <w:rPr>
          <w:rFonts w:ascii="Arial" w:cs="Arial" w:eastAsia="Arial" w:hAnsi="Arial"/>
          <w:b/>
          <w:bCs/>
          <w:sz w:val="18"/>
          <w:szCs w:val="18"/>
        </w:rPr>
        <w:t xml:space="preserve">Note: </w:t>
      </w:r>
      <w:r>
        <w:rPr>
          <w:rFonts w:ascii="Arial" w:cs="Arial" w:eastAsia="Arial" w:hAnsi="Arial"/>
          <w:sz w:val="18"/>
          <w:szCs w:val="18"/>
        </w:rPr>
        <w:t xml:space="preserve">June is a partial month (23 of 30 days); all comparisons use per-day rates for fairness.</w:t>
      </w:r>
    </w:p>
    <w:p>
      <w:pPr>
        <w:pStyle w:val="Heading1"/>
      </w:pPr>
      <w:r>
        <w:rPr>
          <w:rFonts w:ascii="Arial" w:cs="Arial" w:eastAsia="Arial" w:hAnsi="Arial"/>
        </w:rPr>
        <w:t xml:space="preserve">3. Incident Taxonomy &amp; Priority Model</w:t>
      </w:r>
    </w:p>
    <w:p>
      <w:pPr>
        <w:spacing w:after="120" w:before="0"/>
      </w:pPr>
      <w:r>
        <w:rPr>
          <w:rFonts w:ascii="Arial" w:cs="Arial" w:eastAsia="Arial" w:hAnsi="Arial"/>
          <w:sz w:val="22"/>
          <w:szCs w:val="22"/>
        </w:rPr>
        <w:t xml:space="preserve">Every incident is classified into one issue family (single primary intent, ordered by importance). Priority is assigned automatically from the family, then confirmed at triage. Classification was refined so unclassified “Other” fell from 49% to under 2% of all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50"/>
        <w:gridCol w:w="1500"/>
        <w:gridCol w:w="3410"/>
      </w:tblGrid>
      <w:tr>
        <w:trPr>
          <w:tblHeader/>
        </w:trPr>
        <w:tc>
          <w:tcPr>
            <w:tcW w:type="dxa" w:w="33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Issue family</w:t>
            </w:r>
          </w:p>
        </w:tc>
        <w:tc>
          <w:tcPr>
            <w:tcW w:type="dxa" w:w="11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Volume</w:t>
            </w:r>
          </w:p>
        </w:tc>
        <w:tc>
          <w:tcPr>
            <w:tcW w:type="dxa" w:w="15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Priority</w:t>
            </w:r>
          </w:p>
        </w:tc>
        <w:tc>
          <w:tcPr>
            <w:tcW w:type="dxa" w:w="341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Why it matters</w:t>
            </w:r>
          </w:p>
        </w:tc>
      </w:tr>
      <w:tr>
        <w:tc>
          <w:tcPr>
            <w:tcW w:type="dxa" w:w="3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Payment order (คำสั่งจ่าย/จัดจ่าย)</w:t>
            </w:r>
          </w:p>
        </w:tc>
        <w:tc>
          <w:tcPr>
            <w:tcW w:type="dxa" w:w="1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1,369</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Medium</w:t>
            </w:r>
          </w:p>
        </w:tc>
        <w:tc>
          <w:tcPr>
            <w:tcW w:type="dxa" w:w="3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Direct money to ผปต.; errors delay disbursement</w:t>
            </w:r>
          </w:p>
        </w:tc>
      </w:tr>
      <w:tr>
        <w:tc>
          <w:tcPr>
            <w:tcW w:type="dxa" w:w="3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System error (ระบบ/Error)</w:t>
            </w:r>
          </w:p>
        </w:tc>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1,249</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b/>
                <w:bCs/>
                <w:color w:val="C00000"/>
                <w:sz w:val="20"/>
                <w:szCs w:val="20"/>
              </w:rPr>
              <w:t xml:space="preserve">High</w:t>
            </w:r>
          </w:p>
        </w:tc>
        <w:tc>
          <w:tcPr>
            <w:tcW w:type="dxa" w:w="34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Platform defect; needs dev fix + RCA</w:t>
            </w:r>
          </w:p>
        </w:tc>
      </w:tr>
      <w:tr>
        <w:tc>
          <w:tcPr>
            <w:tcW w:type="dxa" w:w="3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Approval (อนุมัติ)</w:t>
            </w:r>
          </w:p>
        </w:tc>
        <w:tc>
          <w:tcPr>
            <w:tcW w:type="dxa" w:w="1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901</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Medium</w:t>
            </w:r>
          </w:p>
        </w:tc>
        <w:tc>
          <w:tcPr>
            <w:tcW w:type="dxa" w:w="3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Cases awaiting sign-off to release benefit</w:t>
            </w:r>
          </w:p>
        </w:tc>
      </w:tr>
      <w:tr>
        <w:tc>
          <w:tcPr>
            <w:tcW w:type="dxa" w:w="3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Follow-up / urgent (ติดตาม)</w:t>
            </w:r>
          </w:p>
        </w:tc>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387</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Normal</w:t>
            </w:r>
          </w:p>
        </w:tc>
        <w:tc>
          <w:tcPr>
            <w:tcW w:type="dxa" w:w="34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Chasers on in-flight cases; SLA pressure</w:t>
            </w:r>
          </w:p>
        </w:tc>
      </w:tr>
      <w:tr>
        <w:tc>
          <w:tcPr>
            <w:tcW w:type="dxa" w:w="3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Status / close case</w:t>
            </w:r>
          </w:p>
        </w:tc>
        <w:tc>
          <w:tcPr>
            <w:tcW w:type="dxa" w:w="1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272</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Normal</w:t>
            </w:r>
          </w:p>
        </w:tc>
        <w:tc>
          <w:tcPr>
            <w:tcW w:type="dxa" w:w="3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Case-state hygiene; mostly data fixes</w:t>
            </w:r>
          </w:p>
        </w:tc>
      </w:tr>
      <w:tr>
        <w:tc>
          <w:tcPr>
            <w:tcW w:type="dxa" w:w="3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Adjudicate / review (วินิจฉัย)</w:t>
            </w:r>
          </w:p>
        </w:tc>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194</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Medium</w:t>
            </w:r>
          </w:p>
        </w:tc>
        <w:tc>
          <w:tcPr>
            <w:tcW w:type="dxa" w:w="34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Eligibility decision needed before pay</w:t>
            </w:r>
          </w:p>
        </w:tc>
      </w:tr>
      <w:tr>
        <w:tc>
          <w:tcPr>
            <w:tcW w:type="dxa" w:w="3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DOE linkage (กรมจัดหางาน)</w:t>
            </w:r>
          </w:p>
        </w:tc>
        <w:tc>
          <w:tcPr>
            <w:tcW w:type="dxa" w:w="1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125</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b/>
                <w:bCs/>
                <w:color w:val="C00000"/>
                <w:sz w:val="20"/>
                <w:szCs w:val="20"/>
              </w:rPr>
              <w:t xml:space="preserve">High</w:t>
            </w:r>
          </w:p>
        </w:tc>
        <w:tc>
          <w:tcPr>
            <w:tcW w:type="dxa" w:w="3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Cross-agency integration; rising fast</w:t>
            </w:r>
          </w:p>
        </w:tc>
      </w:tr>
      <w:tr>
        <w:tc>
          <w:tcPr>
            <w:tcW w:type="dxa" w:w="3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Recovery / clawback (เรียกเงินคืน)</w:t>
            </w:r>
          </w:p>
        </w:tc>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123</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b/>
                <w:bCs/>
                <w:color w:val="C00000"/>
                <w:sz w:val="20"/>
                <w:szCs w:val="20"/>
              </w:rPr>
              <w:t xml:space="preserve">High</w:t>
            </w:r>
          </w:p>
        </w:tc>
        <w:tc>
          <w:tcPr>
            <w:tcW w:type="dxa" w:w="34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Over-payment recovery; financial risk</w:t>
            </w:r>
          </w:p>
        </w:tc>
      </w:tr>
      <w:tr>
        <w:tc>
          <w:tcPr>
            <w:tcW w:type="dxa" w:w="3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Duplicate / eligibility</w:t>
            </w:r>
          </w:p>
        </w:tc>
        <w:tc>
          <w:tcPr>
            <w:tcW w:type="dxa" w:w="1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122</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b/>
                <w:bCs/>
                <w:color w:val="C00000"/>
                <w:sz w:val="20"/>
                <w:szCs w:val="20"/>
              </w:rPr>
              <w:t xml:space="preserve">High</w:t>
            </w:r>
          </w:p>
        </w:tc>
        <w:tc>
          <w:tcPr>
            <w:tcW w:type="dxa" w:w="3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Risk of double-pay or wrong entitlement</w:t>
            </w:r>
          </w:p>
        </w:tc>
      </w:tr>
      <w:tr>
        <w:tc>
          <w:tcPr>
            <w:tcW w:type="dxa" w:w="3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Other ops (เช็ค/แก้ไข/รายงานตัว/บันทึก…)</w:t>
            </w:r>
          </w:p>
        </w:tc>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305</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Normal</w:t>
            </w:r>
          </w:p>
        </w:tc>
        <w:tc>
          <w:tcPr>
            <w:tcW w:type="dxa" w:w="34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Investigate, fix, register, record, complaint, cancel</w:t>
            </w:r>
          </w:p>
        </w:tc>
      </w:tr>
      <w:tr>
        <w:tc>
          <w:tcPr>
            <w:tcW w:type="dxa" w:w="3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Unclassified (Other)</w:t>
            </w:r>
          </w:p>
        </w:tc>
        <w:tc>
          <w:tcPr>
            <w:tcW w:type="dxa" w:w="1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93</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jc w:val="center"/>
            </w:pPr>
            <w:r>
              <w:rPr>
                <w:rFonts w:ascii="Arial" w:cs="Arial" w:eastAsia="Arial" w:hAnsi="Arial"/>
                <w:sz w:val="20"/>
                <w:szCs w:val="20"/>
              </w:rPr>
              <w:t xml:space="preserve">—</w:t>
            </w:r>
          </w:p>
        </w:tc>
        <w:tc>
          <w:tcPr>
            <w:tcW w:type="dxa" w:w="3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Contextless follow-ons; &lt;2% of all (was 49%)</w:t>
            </w:r>
          </w:p>
        </w:tc>
      </w:tr>
    </w:tbl>
    <w:p>
      <w:pPr>
        <w:pStyle w:val="Heading1"/>
      </w:pPr>
      <w:r>
        <w:rPr>
          <w:rFonts w:ascii="Arial" w:cs="Arial" w:eastAsia="Arial" w:hAnsi="Arial"/>
        </w:rPr>
        <w:t xml:space="preserve">4. Triage &amp; Resolution Workflow</w:t>
      </w:r>
    </w:p>
    <w:p>
      <w:pPr>
        <w:spacing w:after="120" w:before="0"/>
      </w:pPr>
      <w:r>
        <w:rPr>
          <w:rFonts w:ascii="Arial" w:cs="Arial" w:eastAsia="Arial" w:hAnsi="Arial"/>
          <w:sz w:val="22"/>
          <w:szCs w:val="22"/>
        </w:rPr>
        <w:t xml:space="preserve">Aligned to the Hypercare/Support stage of the SDLC. Each incident flows through six steps; AI handles 1–3, humans own 4–6.</w:t>
      </w:r>
    </w:p>
    <w:p>
      <w:pPr>
        <w:pStyle w:val="ListParagraph"/>
        <w:numPr>
          <w:ilvl w:val="0"/>
          <w:numId w:val="2"/>
        </w:numPr>
        <w:spacing w:after="60"/>
      </w:pPr>
      <w:r>
        <w:rPr>
          <w:rFonts w:ascii="Arial" w:cs="Arial" w:eastAsia="Arial" w:hAnsi="Arial"/>
          <w:sz w:val="22"/>
          <w:szCs w:val="22"/>
        </w:rPr>
        <w:t xml:space="preserve">Intake — field office posts to LINE with ผปต. ID, เลขรับแจ้ง and screenshot.</w:t>
      </w:r>
    </w:p>
    <w:p>
      <w:pPr>
        <w:pStyle w:val="ListParagraph"/>
        <w:numPr>
          <w:ilvl w:val="0"/>
          <w:numId w:val="2"/>
        </w:numPr>
        <w:spacing w:after="60"/>
      </w:pPr>
      <w:r>
        <w:rPr>
          <w:rFonts w:ascii="Arial" w:cs="Arial" w:eastAsia="Arial" w:hAnsi="Arial"/>
          <w:sz w:val="22"/>
          <w:szCs w:val="22"/>
        </w:rPr>
        <w:t xml:space="preserve">Classify — auto-tag issue family + priority; deduplicate by citizen ID.</w:t>
      </w:r>
    </w:p>
    <w:p>
      <w:pPr>
        <w:pStyle w:val="ListParagraph"/>
        <w:numPr>
          <w:ilvl w:val="0"/>
          <w:numId w:val="2"/>
        </w:numPr>
        <w:spacing w:after="60"/>
      </w:pPr>
      <w:r>
        <w:rPr>
          <w:rFonts w:ascii="Arial" w:cs="Arial" w:eastAsia="Arial" w:hAnsi="Arial"/>
          <w:sz w:val="22"/>
          <w:szCs w:val="22"/>
        </w:rPr>
        <w:t xml:space="preserve">Route — create/lookup Trello card; assign to owner queue (dev vs ops).</w:t>
      </w:r>
    </w:p>
    <w:p>
      <w:pPr>
        <w:pStyle w:val="ListParagraph"/>
        <w:numPr>
          <w:ilvl w:val="0"/>
          <w:numId w:val="2"/>
        </w:numPr>
        <w:spacing w:after="60"/>
      </w:pPr>
      <w:r>
        <w:rPr>
          <w:rFonts w:ascii="Arial" w:cs="Arial" w:eastAsia="Arial" w:hAnsi="Arial"/>
          <w:sz w:val="22"/>
          <w:szCs w:val="22"/>
        </w:rPr>
        <w:t xml:space="preserve">Resolve — owner actions the fix; system errors get a root-cause note.</w:t>
      </w:r>
    </w:p>
    <w:p>
      <w:pPr>
        <w:pStyle w:val="ListParagraph"/>
        <w:numPr>
          <w:ilvl w:val="0"/>
          <w:numId w:val="2"/>
        </w:numPr>
        <w:spacing w:after="60"/>
      </w:pPr>
      <w:r>
        <w:rPr>
          <w:rFonts w:ascii="Arial" w:cs="Arial" w:eastAsia="Arial" w:hAnsi="Arial"/>
          <w:sz w:val="22"/>
          <w:szCs w:val="22"/>
        </w:rPr>
        <w:t xml:space="preserve">Verify — business owner (สปส.) confirms case state is correct.</w:t>
      </w:r>
    </w:p>
    <w:p>
      <w:pPr>
        <w:pStyle w:val="ListParagraph"/>
        <w:numPr>
          <w:ilvl w:val="0"/>
          <w:numId w:val="2"/>
        </w:numPr>
        <w:spacing w:after="60"/>
      </w:pPr>
      <w:r>
        <w:rPr>
          <w:rFonts w:ascii="Arial" w:cs="Arial" w:eastAsia="Arial" w:hAnsi="Arial"/>
          <w:sz w:val="22"/>
          <w:szCs w:val="22"/>
        </w:rPr>
        <w:t xml:space="preserve">Log &amp; close — record resolution, update status, capture for trend reporting.</w:t>
      </w:r>
    </w:p>
    <w:p>
      <w:pPr>
        <w:pStyle w:val="Heading1"/>
      </w:pPr>
      <w:r>
        <w:rPr>
          <w:rFonts w:ascii="Arial" w:cs="Arial" w:eastAsia="Arial" w:hAnsi="Arial"/>
        </w:rPr>
        <w:t xml:space="preserve">5. Ownership (RACI)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W w:type="dxa" w:w="26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Activity</w:t>
            </w:r>
          </w:p>
        </w:tc>
        <w:tc>
          <w:tcPr>
            <w:tcW w:type="dxa" w:w="169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PM</w:t>
            </w:r>
          </w:p>
        </w:tc>
        <w:tc>
          <w:tcPr>
            <w:tcW w:type="dxa" w:w="169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Dev team</w:t>
            </w:r>
          </w:p>
        </w:tc>
        <w:tc>
          <w:tcPr>
            <w:tcW w:type="dxa" w:w="169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Ops/สปส.</w:t>
            </w:r>
          </w:p>
        </w:tc>
        <w:tc>
          <w:tcPr>
            <w:tcW w:type="dxa" w:w="169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PMO/AI</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Intake &amp; classify</w:t>
            </w:r>
          </w:p>
        </w:tc>
        <w:tc>
          <w:tcPr>
            <w:tcW w:type="dxa" w:w="169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A</w:t>
            </w:r>
          </w:p>
        </w:tc>
        <w:tc>
          <w:tcPr>
            <w:tcW w:type="dxa" w:w="169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I</w:t>
            </w:r>
          </w:p>
        </w:tc>
        <w:tc>
          <w:tcPr>
            <w:tcW w:type="dxa" w:w="169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R</w:t>
            </w:r>
          </w:p>
        </w:tc>
        <w:tc>
          <w:tcPr>
            <w:tcW w:type="dxa" w:w="169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R</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Priority &amp; routing</w:t>
            </w:r>
          </w:p>
        </w:tc>
        <w:tc>
          <w:tcPr>
            <w:tcW w:type="dxa" w:w="169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A/R</w:t>
            </w:r>
          </w:p>
        </w:tc>
        <w:tc>
          <w:tcPr>
            <w:tcW w:type="dxa" w:w="169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C</w:t>
            </w:r>
          </w:p>
        </w:tc>
        <w:tc>
          <w:tcPr>
            <w:tcW w:type="dxa" w:w="169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I</w:t>
            </w:r>
          </w:p>
        </w:tc>
        <w:tc>
          <w:tcPr>
            <w:tcW w:type="dxa" w:w="169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R</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Defect fix (system)</w:t>
            </w:r>
          </w:p>
        </w:tc>
        <w:tc>
          <w:tcPr>
            <w:tcW w:type="dxa" w:w="169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A</w:t>
            </w:r>
          </w:p>
        </w:tc>
        <w:tc>
          <w:tcPr>
            <w:tcW w:type="dxa" w:w="169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R</w:t>
            </w:r>
          </w:p>
        </w:tc>
        <w:tc>
          <w:tcPr>
            <w:tcW w:type="dxa" w:w="169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I</w:t>
            </w:r>
          </w:p>
        </w:tc>
        <w:tc>
          <w:tcPr>
            <w:tcW w:type="dxa" w:w="169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I</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Payment-order action</w:t>
            </w:r>
          </w:p>
        </w:tc>
        <w:tc>
          <w:tcPr>
            <w:tcW w:type="dxa" w:w="169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C</w:t>
            </w:r>
          </w:p>
        </w:tc>
        <w:tc>
          <w:tcPr>
            <w:tcW w:type="dxa" w:w="169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C</w:t>
            </w:r>
          </w:p>
        </w:tc>
        <w:tc>
          <w:tcPr>
            <w:tcW w:type="dxa" w:w="169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R/A</w:t>
            </w:r>
          </w:p>
        </w:tc>
        <w:tc>
          <w:tcPr>
            <w:tcW w:type="dxa" w:w="169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I</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Case verification</w:t>
            </w:r>
          </w:p>
        </w:tc>
        <w:tc>
          <w:tcPr>
            <w:tcW w:type="dxa" w:w="169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I</w:t>
            </w:r>
          </w:p>
        </w:tc>
        <w:tc>
          <w:tcPr>
            <w:tcW w:type="dxa" w:w="169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I</w:t>
            </w:r>
          </w:p>
        </w:tc>
        <w:tc>
          <w:tcPr>
            <w:tcW w:type="dxa" w:w="169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R/A</w:t>
            </w:r>
          </w:p>
        </w:tc>
        <w:tc>
          <w:tcPr>
            <w:tcW w:type="dxa" w:w="169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I</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Trend &amp; reporting</w:t>
            </w:r>
          </w:p>
        </w:tc>
        <w:tc>
          <w:tcPr>
            <w:tcW w:type="dxa" w:w="169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A/R</w:t>
            </w:r>
          </w:p>
        </w:tc>
        <w:tc>
          <w:tcPr>
            <w:tcW w:type="dxa" w:w="169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I</w:t>
            </w:r>
          </w:p>
        </w:tc>
        <w:tc>
          <w:tcPr>
            <w:tcW w:type="dxa" w:w="169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I</w:t>
            </w:r>
          </w:p>
        </w:tc>
        <w:tc>
          <w:tcPr>
            <w:tcW w:type="dxa" w:w="169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R</w:t>
            </w:r>
          </w:p>
        </w:tc>
      </w:tr>
    </w:tbl>
    <w:p>
      <w:pPr>
        <w:spacing w:after="120"/>
      </w:pPr>
      <w:r>
        <w:rPr>
          <w:rFonts w:ascii="Arial" w:cs="Arial" w:eastAsia="Arial" w:hAnsi="Arial"/>
          <w:b/>
          <w:bCs/>
          <w:sz w:val="18"/>
          <w:szCs w:val="18"/>
        </w:rPr>
        <w:t xml:space="preserve">R </w:t>
      </w:r>
      <w:r>
        <w:rPr>
          <w:rFonts w:ascii="Arial" w:cs="Arial" w:eastAsia="Arial" w:hAnsi="Arial"/>
          <w:sz w:val="18"/>
          <w:szCs w:val="18"/>
        </w:rPr>
        <w:t xml:space="preserve">Responsible · </w:t>
      </w:r>
      <w:r>
        <w:rPr>
          <w:rFonts w:ascii="Arial" w:cs="Arial" w:eastAsia="Arial" w:hAnsi="Arial"/>
          <w:b/>
          <w:bCs/>
          <w:sz w:val="18"/>
          <w:szCs w:val="18"/>
        </w:rPr>
        <w:t xml:space="preserve">A </w:t>
      </w:r>
      <w:r>
        <w:rPr>
          <w:rFonts w:ascii="Arial" w:cs="Arial" w:eastAsia="Arial" w:hAnsi="Arial"/>
          <w:sz w:val="18"/>
          <w:szCs w:val="18"/>
        </w:rPr>
        <w:t xml:space="preserve">Accountable · </w:t>
      </w:r>
      <w:r>
        <w:rPr>
          <w:rFonts w:ascii="Arial" w:cs="Arial" w:eastAsia="Arial" w:hAnsi="Arial"/>
          <w:b/>
          <w:bCs/>
          <w:sz w:val="18"/>
          <w:szCs w:val="18"/>
        </w:rPr>
        <w:t xml:space="preserve">C </w:t>
      </w:r>
      <w:r>
        <w:rPr>
          <w:rFonts w:ascii="Arial" w:cs="Arial" w:eastAsia="Arial" w:hAnsi="Arial"/>
          <w:sz w:val="18"/>
          <w:szCs w:val="18"/>
        </w:rPr>
        <w:t xml:space="preserve">Consulted · </w:t>
      </w:r>
      <w:r>
        <w:rPr>
          <w:rFonts w:ascii="Arial" w:cs="Arial" w:eastAsia="Arial" w:hAnsi="Arial"/>
          <w:b/>
          <w:bCs/>
          <w:sz w:val="18"/>
          <w:szCs w:val="18"/>
        </w:rPr>
        <w:t xml:space="preserve">I </w:t>
      </w:r>
      <w:r>
        <w:rPr>
          <w:rFonts w:ascii="Arial" w:cs="Arial" w:eastAsia="Arial" w:hAnsi="Arial"/>
          <w:sz w:val="18"/>
          <w:szCs w:val="18"/>
        </w:rPr>
        <w:t xml:space="preserve">Informed</w:t>
      </w:r>
    </w:p>
    <w:p>
      <w:pPr>
        <w:pStyle w:val="Heading1"/>
      </w:pPr>
      <w:r>
        <w:rPr>
          <w:rFonts w:ascii="Arial" w:cs="Arial" w:eastAsia="Arial" w:hAnsi="Arial"/>
        </w:rPr>
        <w:t xml:space="preserve">6. SLA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530"/>
        <w:gridCol w:w="2530"/>
      </w:tblGrid>
      <w:tr>
        <w:trPr>
          <w:tblHeader/>
        </w:trPr>
        <w:tc>
          <w:tcPr>
            <w:tcW w:type="dxa" w:w="19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Priority</w:t>
            </w:r>
          </w:p>
        </w:tc>
        <w:tc>
          <w:tcPr>
            <w:tcW w:type="dxa" w:w="24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First response</w:t>
            </w:r>
          </w:p>
        </w:tc>
        <w:tc>
          <w:tcPr>
            <w:tcW w:type="dxa" w:w="253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Resolution target</w:t>
            </w:r>
          </w:p>
        </w:tc>
        <w:tc>
          <w:tcPr>
            <w:tcW w:type="dxa" w:w="253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Escalate if</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b/>
                <w:bCs/>
                <w:color w:val="C00000"/>
                <w:sz w:val="20"/>
                <w:szCs w:val="20"/>
              </w:rPr>
              <w:t xml:space="preserve">High</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Within 1 hour</w:t>
            </w:r>
          </w:p>
        </w:tc>
        <w:tc>
          <w:tcPr>
            <w:tcW w:type="dxa" w:w="253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Same business day</w:t>
            </w:r>
          </w:p>
        </w:tc>
        <w:tc>
          <w:tcPr>
            <w:tcW w:type="dxa" w:w="253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Unresolved &gt; 4 hrs / ผปต. impacted</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b/>
                <w:bCs/>
                <w:color w:val="B26A00"/>
                <w:sz w:val="20"/>
                <w:szCs w:val="20"/>
              </w:rPr>
              <w:t xml:space="preserve">Medium</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Within 2 hours</w:t>
            </w:r>
          </w:p>
        </w:tc>
        <w:tc>
          <w:tcPr>
            <w:tcW w:type="dxa" w:w="25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Within 1 business day</w:t>
            </w:r>
          </w:p>
        </w:tc>
        <w:tc>
          <w:tcPr>
            <w:tcW w:type="dxa" w:w="25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Unresolved &gt; 1 day</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b/>
                <w:bCs/>
                <w:color w:val="2E7D32"/>
                <w:sz w:val="20"/>
                <w:szCs w:val="20"/>
              </w:rPr>
              <w:t xml:space="preserve">Normal</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Within 4 hours</w:t>
            </w:r>
          </w:p>
        </w:tc>
        <w:tc>
          <w:tcPr>
            <w:tcW w:type="dxa" w:w="253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Within 2 business days</w:t>
            </w:r>
          </w:p>
        </w:tc>
        <w:tc>
          <w:tcPr>
            <w:tcW w:type="dxa" w:w="253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Unresolved &gt; 2 days</w:t>
            </w:r>
          </w:p>
        </w:tc>
      </w:tr>
    </w:tbl>
    <w:p>
      <w:pPr>
        <w:pStyle w:val="Heading1"/>
      </w:pPr>
      <w:r>
        <w:rPr>
          <w:rFonts w:ascii="Arial" w:cs="Arial" w:eastAsia="Arial" w:hAnsi="Arial"/>
        </w:rPr>
        <w:t xml:space="preserve">7. Escalation Gates</w:t>
      </w:r>
    </w:p>
    <w:p>
      <w:pPr>
        <w:spacing w:after="120" w:before="0"/>
      </w:pPr>
      <w:r>
        <w:rPr>
          <w:rFonts w:ascii="Arial" w:cs="Arial" w:eastAsia="Arial" w:hAnsi="Arial"/>
          <w:sz w:val="22"/>
          <w:szCs w:val="22"/>
        </w:rPr>
        <w:t xml:space="preserve">These always escalate to a human owner — never auto-closed:</w:t>
      </w:r>
    </w:p>
    <w:p>
      <w:pPr>
        <w:pStyle w:val="ListParagraph"/>
        <w:numPr>
          <w:ilvl w:val="0"/>
          <w:numId w:val="3"/>
        </w:numPr>
        <w:spacing w:after="60"/>
      </w:pPr>
      <w:r>
        <w:rPr>
          <w:rFonts w:ascii="Arial" w:cs="Arial" w:eastAsia="Arial" w:hAnsi="Arial"/>
          <w:sz w:val="22"/>
          <w:szCs w:val="22"/>
        </w:rPr>
        <w:t xml:space="preserve">Critical system defect blocking disbursement to ผปต.</w:t>
      </w:r>
    </w:p>
    <w:p>
      <w:pPr>
        <w:pStyle w:val="ListParagraph"/>
        <w:numPr>
          <w:ilvl w:val="0"/>
          <w:numId w:val="3"/>
        </w:numPr>
        <w:spacing w:after="60"/>
      </w:pPr>
      <w:r>
        <w:rPr>
          <w:rFonts w:ascii="Arial" w:cs="Arial" w:eastAsia="Arial" w:hAnsi="Arial"/>
          <w:sz w:val="22"/>
          <w:szCs w:val="22"/>
        </w:rPr>
        <w:t xml:space="preserve">Duplicate / eligibility conflict (double-pay risk).</w:t>
      </w:r>
    </w:p>
    <w:p>
      <w:pPr>
        <w:pStyle w:val="ListParagraph"/>
        <w:numPr>
          <w:ilvl w:val="0"/>
          <w:numId w:val="3"/>
        </w:numPr>
        <w:spacing w:after="60"/>
      </w:pPr>
      <w:r>
        <w:rPr>
          <w:rFonts w:ascii="Arial" w:cs="Arial" w:eastAsia="Arial" w:hAnsi="Arial"/>
          <w:sz w:val="22"/>
          <w:szCs w:val="22"/>
        </w:rPr>
        <w:t xml:space="preserve">DOE (กรมจัดหางาน) integration failure affecting a batch.</w:t>
      </w:r>
    </w:p>
    <w:p>
      <w:pPr>
        <w:pStyle w:val="ListParagraph"/>
        <w:numPr>
          <w:ilvl w:val="0"/>
          <w:numId w:val="3"/>
        </w:numPr>
        <w:spacing w:after="60"/>
      </w:pPr>
      <w:r>
        <w:rPr>
          <w:rFonts w:ascii="Arial" w:cs="Arial" w:eastAsia="Arial" w:hAnsi="Arial"/>
          <w:sz w:val="22"/>
          <w:szCs w:val="22"/>
        </w:rPr>
        <w:t xml:space="preserve">Any case requiring a design change or non-standard rule.</w:t>
      </w:r>
    </w:p>
    <w:p>
      <w:pPr>
        <w:pStyle w:val="ListParagraph"/>
        <w:numPr>
          <w:ilvl w:val="0"/>
          <w:numId w:val="3"/>
        </w:numPr>
        <w:spacing w:after="60"/>
      </w:pPr>
      <w:r>
        <w:rPr>
          <w:rFonts w:ascii="Arial" w:cs="Arial" w:eastAsia="Arial" w:hAnsi="Arial"/>
          <w:sz w:val="22"/>
          <w:szCs w:val="22"/>
        </w:rPr>
        <w:t xml:space="preserve">Volume spike &gt; 130% of daily baseline (≈125+ requests).</w:t>
      </w:r>
    </w:p>
    <w:p>
      <w:r>
        <w:br w:type="page"/>
      </w:r>
    </w:p>
    <w:p>
      <w:pPr>
        <w:pStyle w:val="Heading1"/>
      </w:pPr>
      <w:r>
        <w:rPr>
          <w:rFonts w:ascii="Arial" w:cs="Arial" w:eastAsia="Arial" w:hAnsi="Arial"/>
        </w:rPr>
        <w:t xml:space="preserve">8. Sprint Plan — Sprint 1 (next 2 weeks)</w:t>
      </w:r>
    </w:p>
    <w:p>
      <w:pPr>
        <w:spacing w:after="120"/>
      </w:pPr>
      <w:r>
        <w:rPr>
          <w:rFonts w:ascii="Arial" w:cs="Arial" w:eastAsia="Arial" w:hAnsi="Arial"/>
          <w:b/>
          <w:bCs/>
          <w:sz w:val="22"/>
          <w:szCs w:val="22"/>
        </w:rPr>
        <w:t xml:space="preserve">Sprint goal: </w:t>
      </w:r>
      <w:r>
        <w:rPr>
          <w:rFonts w:ascii="Arial" w:cs="Arial" w:eastAsia="Arial" w:hAnsi="Arial"/>
          <w:sz w:val="22"/>
          <w:szCs w:val="22"/>
        </w:rPr>
        <w:t xml:space="preserve">cut system-defect and status-bug inflow by a further 25% and contain the rising DOE-linkage trend, while keeping High-priority SLA ≥ 90%.</w:t>
      </w:r>
    </w:p>
    <w:p>
      <w:pPr>
        <w:spacing w:after="140" w:before="0"/>
      </w:pPr>
      <w:r>
        <w:rPr>
          <w:rFonts w:ascii="Arial" w:cs="Arial" w:eastAsia="Arial" w:hAnsi="Arial"/>
          <w:sz w:val="22"/>
          <w:szCs w:val="22"/>
        </w:rPr>
        <w:t xml:space="preserve">Backlog is prioritised by ผปต. impact × volume × defect-vs-routine. Routine operational queues stay staffed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60"/>
        <w:gridCol w:w="1300"/>
        <w:gridCol w:w="1700"/>
        <w:gridCol w:w="1600"/>
      </w:tblGrid>
      <w:tr>
        <w:trPr>
          <w:tblHeader/>
        </w:trPr>
        <w:tc>
          <w:tcPr>
            <w:tcW w:type="dxa" w:w="7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w:t>
            </w:r>
          </w:p>
        </w:tc>
        <w:tc>
          <w:tcPr>
            <w:tcW w:type="dxa" w:w="40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Backlog item</w:t>
            </w:r>
          </w:p>
        </w:tc>
        <w:tc>
          <w:tcPr>
            <w:tcW w:type="dxa" w:w="13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Type</w:t>
            </w:r>
          </w:p>
        </w:tc>
        <w:tc>
          <w:tcPr>
            <w:tcW w:type="dxa" w:w="17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Priority</w:t>
            </w:r>
          </w:p>
        </w:tc>
        <w:tc>
          <w:tcPr>
            <w:tcW w:type="dxa" w:w="16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Owner</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S1</w:t>
            </w:r>
          </w:p>
        </w:tc>
        <w:tc>
          <w:tcPr>
            <w:tcW w:type="dxa" w:w="4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Root-cause &amp; fix top recurring payment-order errors</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Defect</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b/>
                <w:bCs/>
                <w:color w:val="C00000"/>
                <w:sz w:val="20"/>
                <w:szCs w:val="20"/>
              </w:rPr>
              <w:t xml:space="preserve">High</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Dev</w:t>
            </w:r>
          </w:p>
        </w:tc>
      </w:tr>
      <w:tr>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S2</w:t>
            </w:r>
          </w:p>
        </w:tc>
        <w:tc>
          <w:tcPr>
            <w:tcW w:type="dxa" w:w="4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Stabilise status/close-case data fixes (auto-validate)</w:t>
            </w:r>
          </w:p>
        </w:tc>
        <w:tc>
          <w:tcPr>
            <w:tcW w:type="dxa" w:w="1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Defect</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b/>
                <w:bCs/>
                <w:color w:val="C00000"/>
                <w:sz w:val="20"/>
                <w:szCs w:val="20"/>
              </w:rPr>
              <w:t xml:space="preserve">High</w:t>
            </w:r>
          </w:p>
        </w:tc>
        <w:tc>
          <w:tcPr>
            <w:tcW w:type="dxa" w:w="1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Dev</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S3</w:t>
            </w:r>
          </w:p>
        </w:tc>
        <w:tc>
          <w:tcPr>
            <w:tcW w:type="dxa" w:w="4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Investigate DOE-linkage failures (+90% MoM)</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Spike</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b/>
                <w:bCs/>
                <w:color w:val="C00000"/>
                <w:sz w:val="20"/>
                <w:szCs w:val="20"/>
              </w:rPr>
              <w:t xml:space="preserve">High</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Dev+Ops</w:t>
            </w:r>
          </w:p>
        </w:tc>
      </w:tr>
      <w:tr>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S4</w:t>
            </w:r>
          </w:p>
        </w:tc>
        <w:tc>
          <w:tcPr>
            <w:tcW w:type="dxa" w:w="4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Duplicate/eligibility guardrail (block double-pay)</w:t>
            </w:r>
          </w:p>
        </w:tc>
        <w:tc>
          <w:tcPr>
            <w:tcW w:type="dxa" w:w="1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Defect</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b/>
                <w:bCs/>
                <w:color w:val="C00000"/>
                <w:sz w:val="20"/>
                <w:szCs w:val="20"/>
              </w:rPr>
              <w:t xml:space="preserve">High</w:t>
            </w:r>
          </w:p>
        </w:tc>
        <w:tc>
          <w:tcPr>
            <w:tcW w:type="dxa" w:w="1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Dev</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S5</w:t>
            </w:r>
          </w:p>
        </w:tc>
        <w:tc>
          <w:tcPr>
            <w:tcW w:type="dxa" w:w="4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Report-in throughput — batch tooling</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Improve</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b/>
                <w:bCs/>
                <w:color w:val="B26A00"/>
                <w:sz w:val="20"/>
                <w:szCs w:val="20"/>
              </w:rPr>
              <w:t xml:space="preserve">Medium</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Dev</w:t>
            </w:r>
          </w:p>
        </w:tc>
      </w:tr>
      <w:tr>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S6</w:t>
            </w:r>
          </w:p>
        </w:tc>
        <w:tc>
          <w:tcPr>
            <w:tcW w:type="dxa" w:w="4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Trello board + label taxonomy live</w:t>
            </w:r>
          </w:p>
        </w:tc>
        <w:tc>
          <w:tcPr>
            <w:tcW w:type="dxa" w:w="1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Process</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b/>
                <w:bCs/>
                <w:color w:val="B26A00"/>
                <w:sz w:val="20"/>
                <w:szCs w:val="20"/>
              </w:rPr>
              <w:t xml:space="preserve">Medium</w:t>
            </w:r>
          </w:p>
        </w:tc>
        <w:tc>
          <w:tcPr>
            <w:tcW w:type="dxa" w:w="1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PM/PMO</w:t>
            </w:r>
          </w:p>
        </w:tc>
      </w:tr>
      <w:tr>
        <w:tc>
          <w:tcPr>
            <w:tcW w:type="dxa" w:w="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S7</w:t>
            </w:r>
          </w:p>
        </w:tc>
        <w:tc>
          <w:tcPr>
            <w:tcW w:type="dxa" w:w="4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Daily triage stand-up + SLA board</w:t>
            </w:r>
          </w:p>
        </w:tc>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Process</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color w:val="2E7D32"/>
                <w:sz w:val="20"/>
                <w:szCs w:val="20"/>
              </w:rPr>
              <w:t xml:space="preserve">Normal</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PM</w:t>
            </w:r>
          </w:p>
        </w:tc>
      </w:tr>
    </w:tbl>
    <w:p>
      <w:pPr>
        <w:pStyle w:val="Heading2"/>
      </w:pPr>
      <w:r>
        <w:rPr>
          <w:rFonts w:ascii="Arial" w:cs="Arial" w:eastAsia="Arial" w:hAnsi="Arial"/>
        </w:rPr>
        <w:t xml:space="preserve">Definition of Done</w:t>
      </w:r>
    </w:p>
    <w:p>
      <w:pPr>
        <w:pStyle w:val="ListParagraph"/>
        <w:numPr>
          <w:ilvl w:val="0"/>
          <w:numId w:val="3"/>
        </w:numPr>
        <w:spacing w:after="60"/>
      </w:pPr>
      <w:r>
        <w:rPr>
          <w:rFonts w:ascii="Arial" w:cs="Arial" w:eastAsia="Arial" w:hAnsi="Arial"/>
          <w:sz w:val="22"/>
          <w:szCs w:val="22"/>
        </w:rPr>
        <w:t xml:space="preserve">Fix verified by Ops/สปส. on a real case; RCA logged.</w:t>
      </w:r>
    </w:p>
    <w:p>
      <w:pPr>
        <w:pStyle w:val="ListParagraph"/>
        <w:numPr>
          <w:ilvl w:val="0"/>
          <w:numId w:val="3"/>
        </w:numPr>
        <w:spacing w:after="60"/>
      </w:pPr>
      <w:r>
        <w:rPr>
          <w:rFonts w:ascii="Arial" w:cs="Arial" w:eastAsia="Arial" w:hAnsi="Arial"/>
          <w:sz w:val="22"/>
          <w:szCs w:val="22"/>
        </w:rPr>
        <w:t xml:space="preserve">Trend metric updated; recurrence monitored for 1 week.</w:t>
      </w:r>
    </w:p>
    <w:p>
      <w:pPr>
        <w:pStyle w:val="ListParagraph"/>
        <w:numPr>
          <w:ilvl w:val="0"/>
          <w:numId w:val="3"/>
        </w:numPr>
        <w:spacing w:after="60"/>
      </w:pPr>
      <w:r>
        <w:rPr>
          <w:rFonts w:ascii="Arial" w:cs="Arial" w:eastAsia="Arial" w:hAnsi="Arial"/>
          <w:sz w:val="22"/>
          <w:szCs w:val="22"/>
        </w:rPr>
        <w:t xml:space="preserve">Trello card closed with resolution note.</w:t>
      </w:r>
    </w:p>
    <w:p>
      <w:pPr>
        <w:pStyle w:val="Heading1"/>
      </w:pPr>
      <w:r>
        <w:rPr>
          <w:rFonts w:ascii="Arial" w:cs="Arial" w:eastAsia="Arial" w:hAnsi="Arial"/>
        </w:rPr>
        <w:t xml:space="preserve">9. Trello Board Structure (“Team Tickets”)</w:t>
      </w:r>
    </w:p>
    <w:p>
      <w:pPr>
        <w:spacing w:after="120" w:before="0"/>
      </w:pPr>
      <w:r>
        <w:rPr>
          <w:rFonts w:ascii="Arial" w:cs="Arial" w:eastAsia="Arial" w:hAnsi="Arial"/>
          <w:sz w:val="22"/>
          <w:szCs w:val="22"/>
        </w:rPr>
        <w:t xml:space="preserve">Recommended lists (columns) and labels to mirror this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Element</w:t>
            </w:r>
          </w:p>
        </w:tc>
        <w:tc>
          <w:tcPr>
            <w:tcW w:type="dxa" w:w="624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Setup</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Lists</w:t>
            </w:r>
          </w:p>
        </w:tc>
        <w:tc>
          <w:tcPr>
            <w:tcW w:type="dxa" w:w="624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Inbox → Triaged → In Progress (Dev) → In Progress (Ops) → Verify → Done</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Priority labels</w:t>
            </w:r>
          </w:p>
        </w:tc>
        <w:tc>
          <w:tcPr>
            <w:tcW w:type="dxa" w:w="62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High (red) · Medium (amber) · Normal (green)</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Issue labels</w:t>
            </w:r>
          </w:p>
        </w:tc>
        <w:tc>
          <w:tcPr>
            <w:tcW w:type="dxa" w:w="624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Payment · Report-in · Status · Duplicate · DOE · System-error</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Card title</w:t>
            </w:r>
          </w:p>
        </w:tc>
        <w:tc>
          <w:tcPr>
            <w:tcW w:type="dxa" w:w="62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[Office] ผปต.-ID — issue (เลขรับแจ้ง)</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Card fields</w:t>
            </w:r>
          </w:p>
        </w:tc>
        <w:tc>
          <w:tcPr>
            <w:tcW w:type="dxa" w:w="624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Citizen ID, ticket no., office, date, SLA due, owner</w:t>
            </w:r>
          </w:p>
        </w:tc>
      </w:tr>
    </w:tbl>
    <w:p>
      <w:pPr>
        <w:pStyle w:val="Heading1"/>
      </w:pPr>
      <w:r>
        <w:rPr>
          <w:rFonts w:ascii="Arial" w:cs="Arial" w:eastAsia="Arial" w:hAnsi="Arial"/>
        </w:rPr>
        <w:t xml:space="preserve">10. KPIs to Track Weekly</w:t>
      </w:r>
    </w:p>
    <w:p>
      <w:pPr>
        <w:pStyle w:val="ListParagraph"/>
        <w:numPr>
          <w:ilvl w:val="0"/>
          <w:numId w:val="3"/>
        </w:numPr>
        <w:spacing w:after="60"/>
      </w:pPr>
      <w:r>
        <w:rPr>
          <w:rFonts w:ascii="Arial" w:cs="Arial" w:eastAsia="Arial" w:hAnsi="Arial"/>
          <w:sz w:val="22"/>
          <w:szCs w:val="22"/>
        </w:rPr>
        <w:t xml:space="preserve">System-defect inflow per day (target: declining).</w:t>
      </w:r>
    </w:p>
    <w:p>
      <w:pPr>
        <w:pStyle w:val="ListParagraph"/>
        <w:numPr>
          <w:ilvl w:val="0"/>
          <w:numId w:val="3"/>
        </w:numPr>
        <w:spacing w:after="60"/>
      </w:pPr>
      <w:r>
        <w:rPr>
          <w:rFonts w:ascii="Arial" w:cs="Arial" w:eastAsia="Arial" w:hAnsi="Arial"/>
          <w:sz w:val="22"/>
          <w:szCs w:val="22"/>
        </w:rPr>
        <w:t xml:space="preserve">High-priority SLA attainment (target ≥ 90%).</w:t>
      </w:r>
    </w:p>
    <w:p>
      <w:pPr>
        <w:pStyle w:val="ListParagraph"/>
        <w:numPr>
          <w:ilvl w:val="0"/>
          <w:numId w:val="3"/>
        </w:numPr>
        <w:spacing w:after="60"/>
      </w:pPr>
      <w:r>
        <w:rPr>
          <w:rFonts w:ascii="Arial" w:cs="Arial" w:eastAsia="Arial" w:hAnsi="Arial"/>
          <w:sz w:val="22"/>
          <w:szCs w:val="22"/>
        </w:rPr>
        <w:t xml:space="preserve">Open vs resolved backlog age.</w:t>
      </w:r>
    </w:p>
    <w:p>
      <w:pPr>
        <w:pStyle w:val="ListParagraph"/>
        <w:numPr>
          <w:ilvl w:val="0"/>
          <w:numId w:val="3"/>
        </w:numPr>
        <w:spacing w:after="60"/>
      </w:pPr>
      <w:r>
        <w:rPr>
          <w:rFonts w:ascii="Arial" w:cs="Arial" w:eastAsia="Arial" w:hAnsi="Arial"/>
          <w:sz w:val="22"/>
          <w:szCs w:val="22"/>
        </w:rPr>
        <w:t xml:space="preserve">DOE-linkage incidents (watch list).</w:t>
      </w:r>
    </w:p>
    <w:p>
      <w:pPr>
        <w:pStyle w:val="ListParagraph"/>
        <w:numPr>
          <w:ilvl w:val="0"/>
          <w:numId w:val="3"/>
        </w:numPr>
        <w:spacing w:after="60"/>
      </w:pPr>
      <w:r>
        <w:rPr>
          <w:rFonts w:ascii="Arial" w:cs="Arial" w:eastAsia="Arial" w:hAnsi="Arial"/>
          <w:sz w:val="22"/>
          <w:szCs w:val="22"/>
        </w:rPr>
        <w:t xml:space="preserve">Recurrence rate of fixed defects (target &lt; 5%).</w:t>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Confidential – Internal PM use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808080"/>
        <w:sz w:val="16"/>
        <w:szCs w:val="16"/>
      </w:rPr>
      <w:t xml:space="preserve">IRCP M33/39 · Unemployment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496" w:sz="6" w:space="2"/>
      </w:pBd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2026-06-23T10:32:33.498Z</dcterms:created>
  <dcterms:modified xsi:type="dcterms:W3CDTF">2026-06-23T10:32:33.498Z</dcterms:modified>
</cp:coreProperties>
</file>

<file path=docProps/custom.xml><?xml version="1.0" encoding="utf-8"?>
<Properties xmlns="http://schemas.openxmlformats.org/officeDocument/2006/custom-properties" xmlns:vt="http://schemas.openxmlformats.org/officeDocument/2006/docPropsVTypes"/>
</file>