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Factorial paper — differentiation from LeAPP</w:t>
      </w:r>
    </w:p>
    <w:p>
      <w:r>
        <w:rPr>
          <w:b/>
        </w:rPr>
        <w:t>Purpose:</w:t>
      </w:r>
      <w:r>
        <w:t xml:space="preserve"> ranked menu of specific contributions we can add to enlarge our distance from Bey et al. 2024 (LeAPP), the direct methodological precedent. Answers the question: </w:t>
      </w:r>
      <w:r>
        <w:rPr>
          <w:i/>
        </w:rPr>
        <w:t>"which additions materially shift the paper from 'TBI extension of LeAPP' to a substantively differentiated contribution?"</w:t>
      </w:r>
    </w:p>
    <w:p>
      <w:r>
        <w:rPr>
          <w:b/>
        </w:rPr>
        <w:t>Related docs:</w:t>
      </w:r>
      <w:r>
        <w:t xml:space="preserve"> </w:t>
      </w:r>
      <w:r>
        <w:rPr>
          <w:color w:val="1F4E79"/>
          <w:u w:val="single"/>
        </w:rPr>
        <w:t>index.md</w:t>
      </w:r>
      <w:r>
        <w:t xml:space="preserve"> · </w:t>
      </w:r>
      <w:r>
        <w:rPr>
          <w:color w:val="1F4E79"/>
          <w:u w:val="single"/>
        </w:rPr>
        <w:t>leapp_lineage.md</w:t>
      </w:r>
      <w:r>
        <w:t xml:space="preserve"> · </w:t>
      </w:r>
      <w:r>
        <w:rPr>
          <w:color w:val="1F4E79"/>
          <w:u w:val="single"/>
        </w:rPr>
        <w:t>neuroimage_prerequisites.md</w:t>
      </w:r>
      <w:r>
        <w:t xml:space="preserve"> · </w:t>
      </w:r>
      <w:r>
        <w:rPr>
          <w:color w:val="1F4E79"/>
          <w:u w:val="single"/>
        </w:rPr>
        <w:t>analysis_plan.md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 xml:space="preserve">Our paper as currently scoped is </w:t>
      </w:r>
      <w:r>
        <w:rPr>
          <w:b/>
        </w:rPr>
        <w:t>framework-extension</w:t>
      </w:r>
      <w:r>
        <w:t xml:space="preserve"> (extends LeAPP's methodological framework to TBI + adds neuroLIT as a 3rd anatomy arm + containerized infrastructure). LeAPP itself was </w:t>
      </w:r>
      <w:r>
        <w:rPr>
          <w:b/>
        </w:rPr>
        <w:t>framework-formation</w:t>
      </w:r>
      <w:r>
        <w:t xml:space="preserve"> (created its named framework by combining pre-existing VBG + ACT into a factorial and adding synthetic-lesion validation).</w:t>
      </w:r>
    </w:p>
    <w:p>
      <w:r>
        <w:t xml:space="preserve">Reviewers apply different scrutiny to framework-extensions vs framework- formations. Extensions need to demonstrate each extension is non-trivial; formations get credit for the combination itself. Our closeness to LeAPP therefore requires </w:t>
      </w:r>
      <w:r>
        <w:rPr>
          <w:b/>
        </w:rPr>
        <w:t>deliberate additions</w:t>
      </w:r>
      <w:r>
        <w:t xml:space="preserve"> to reach a distance similar to LeAPP-vs-VBG.</w:t>
      </w:r>
    </w:p>
    <w:p>
      <w:r>
        <w:t>This document lists 20 candidate additions ranked by novelty-per-unit-effort. Items 1–4 were identified first and are our "table stakes." Items 5–13 are worth considering; items 14–20 are lower-leverage and mostly skip.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Tier 0 — table-stakes additions (previously identified)</w:t>
      </w:r>
    </w:p>
    <w:p>
      <w:r>
        <w:t>These are the four minimum additions that shift the paper from "TBI cohort application of LeAPP" to "TBI-specific methodological extension."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Addition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Novelty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Effort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930"/>
          </w:tcPr>
          <w:p>
            <w:r/>
            <w:r>
              <w:t>1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Tier B synthetic-lesion validation</w:t>
            </w:r>
            <w:r>
              <w:t xml:space="preserve"> on CIDUR controls</w:t>
            </w:r>
          </w:p>
        </w:tc>
        <w:tc>
          <w:tcPr>
            <w:tcW w:type="dxa" w:w="1930"/>
          </w:tcPr>
          <w:p>
            <w:r/>
            <w:r>
              <w:t>★★★★</w:t>
            </w:r>
          </w:p>
        </w:tc>
        <w:tc>
          <w:tcPr>
            <w:tcW w:type="dxa" w:w="1930"/>
          </w:tcPr>
          <w:p>
            <w:r/>
            <w:r>
              <w:t>4 wks</w:t>
            </w:r>
          </w:p>
        </w:tc>
        <w:tc>
          <w:tcPr>
            <w:tcW w:type="dxa" w:w="1930"/>
          </w:tcPr>
          <w:p>
            <w:r/>
            <w:r>
              <w:t>Matches LeAPP's N≈81 synthetic validation move; primary lever for HBM → NeuroImage upgrade</w:t>
            </w:r>
          </w:p>
        </w:tc>
      </w:tr>
      <w:tr>
        <w:tc>
          <w:tcPr>
            <w:tcW w:type="dxa" w:w="1930"/>
          </w:tcPr>
          <w:p>
            <w:r/>
            <w:r>
              <w:t>2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Framework naming and branding</w:t>
            </w:r>
            <w:r>
              <w:t xml:space="preserve"> (name the pipeline as a citable framework, not just describe as "LeAPP extension")</w:t>
            </w:r>
          </w:p>
        </w:tc>
        <w:tc>
          <w:tcPr>
            <w:tcW w:type="dxa" w:w="1930"/>
          </w:tcPr>
          <w:p>
            <w:r/>
            <w:r>
              <w:t>★★</w:t>
            </w:r>
          </w:p>
        </w:tc>
        <w:tc>
          <w:tcPr>
            <w:tcW w:type="dxa" w:w="1930"/>
          </w:tcPr>
          <w:p>
            <w:r/>
            <w:r>
              <w:t>1 day</w:t>
            </w:r>
          </w:p>
        </w:tc>
        <w:tc>
          <w:tcPr>
            <w:tcW w:type="dxa" w:w="1930"/>
          </w:tcPr>
          <w:p>
            <w:r/>
            <w:r>
              <w:t>Signals contribution-magnitude claim; changes long-term citation trajectory</w:t>
            </w:r>
          </w:p>
        </w:tc>
      </w:tr>
      <w:tr>
        <w:tc>
          <w:tcPr>
            <w:tcW w:type="dxa" w:w="1930"/>
          </w:tcPr>
          <w:p>
            <w:r/>
            <w:r>
              <w:t>3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Foreground neuroLIT integration</w:t>
            </w:r>
            <w:r>
              <w:t xml:space="preserve"> as a first-class methodological choice (not just "3rd arm we added")</w:t>
            </w:r>
          </w:p>
        </w:tc>
        <w:tc>
          <w:tcPr>
            <w:tcW w:type="dxa" w:w="1930"/>
          </w:tcPr>
          <w:p>
            <w:r/>
            <w:r>
              <w:t>★★</w:t>
            </w:r>
          </w:p>
        </w:tc>
        <w:tc>
          <w:tcPr>
            <w:tcW w:type="dxa" w:w="1930"/>
          </w:tcPr>
          <w:p>
            <w:r/>
            <w:r>
              <w:t>Analysis-only</w:t>
            </w:r>
          </w:p>
        </w:tc>
        <w:tc>
          <w:tcPr>
            <w:tcW w:type="dxa" w:w="1930"/>
          </w:tcPr>
          <w:p>
            <w:r/>
            <w:r>
              <w:t>Turns Pollak 2025 integration from decoration to substantive contribution</w:t>
            </w:r>
          </w:p>
        </w:tc>
      </w:tr>
      <w:tr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First-class bilateral-lesion handling</w:t>
            </w:r>
            <w:r>
              <w:t xml:space="preserve"> analysis (main-text figure/subgroup, not supplement)</w:t>
            </w:r>
          </w:p>
        </w:tc>
        <w:tc>
          <w:tcPr>
            <w:tcW w:type="dxa" w:w="1930"/>
          </w:tcPr>
          <w:p>
            <w:r/>
            <w:r>
              <w:t>★★★</w:t>
            </w:r>
          </w:p>
        </w:tc>
        <w:tc>
          <w:tcPr>
            <w:tcW w:type="dxa" w:w="1930"/>
          </w:tcPr>
          <w:p>
            <w:r/>
            <w:r>
              <w:t>Analysis-only</w:t>
            </w:r>
          </w:p>
        </w:tc>
        <w:tc>
          <w:tcPr>
            <w:tcW w:type="dxa" w:w="1930"/>
          </w:tcPr>
          <w:p>
            <w:r/>
            <w:r>
              <w:t>Stress-tests LeAPP's implicit unilateral assumption; TBI-specific finding LeAPP could not produce</w:t>
            </w:r>
          </w:p>
        </w:tc>
      </w:tr>
    </w:tbl>
    <w:p/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Tier 1 — high leverage, worth adding</w:t>
      </w:r>
    </w:p>
    <w:p>
      <w:r>
        <w:t>Each of these substantially enlarges distance from LeAPP with a favorable effort-to-payoff ratio.</w:t>
      </w:r>
    </w:p>
    <w:p>
      <w:pPr>
        <w:pStyle w:val="Heading3"/>
      </w:pPr>
      <w:r>
        <w:t>5. Uncertainty quantification per edge</w:t>
      </w:r>
    </w:p>
    <w:p>
      <w:r>
        <w:t xml:space="preserve">LeAPP reported point estimates for edge weights per arm. Report </w:t>
      </w:r>
      <w:r>
        <w:rPr>
          <w:b/>
        </w:rPr>
        <w:t>edge-weight confidence intervals</w:t>
      </w:r>
      <w:r>
        <w:t xml:space="preserve"> via bootstrap resampling of tractography seeds (or subject-level bootstrap of streamline weights).</w:t>
      </w:r>
    </w:p>
    <w:p>
      <w:pPr>
        <w:pStyle w:val="ListBullet"/>
      </w:pPr>
      <w:r>
        <w:rPr>
          <w:b/>
        </w:rPr>
        <w:t>What it delivers:</w:t>
      </w:r>
      <w:r>
        <w:t xml:space="preserve"> turns "the connectome is X" into "the connectome is X ± Y"</w:t>
      </w:r>
    </w:p>
    <w:p>
      <w:pPr>
        <w:pStyle w:val="ListBullet"/>
      </w:pPr>
      <w:r>
        <w:rPr>
          <w:b/>
        </w:rPr>
        <w:t>Effort:</w:t>
      </w:r>
      <w:r>
        <w:t xml:space="preserve"> ~2 weeks compute + analysis code</w:t>
      </w:r>
    </w:p>
    <w:p>
      <w:pPr>
        <w:pStyle w:val="ListBullet"/>
      </w:pPr>
      <w:r>
        <w:rPr>
          <w:b/>
        </w:rPr>
        <w:t>Payoff:</w:t>
      </w:r>
      <w:r>
        <w:t xml:space="preserve"> NeuroImage reviewers explicitly reward uncertainty reporting; genuine methodological advance over LeAPP</w:t>
      </w:r>
    </w:p>
    <w:p>
      <w:pPr>
        <w:pStyle w:val="ListBullet"/>
      </w:pPr>
      <w:r>
        <w:rPr>
          <w:b/>
        </w:rPr>
        <w:t>Novelty:</w:t>
      </w:r>
      <w:r>
        <w:t xml:space="preserve"> ★★★</w:t>
      </w:r>
    </w:p>
    <w:p>
      <w:pPr>
        <w:pStyle w:val="Heading3"/>
      </w:pPr>
      <w:r>
        <w:t>6. Cross-parcellation robustness suite</w:t>
      </w:r>
    </w:p>
    <w:p>
      <w:r>
        <w:t xml:space="preserve">LeAPP tested one parcellation. Report the six-arm factorial results in </w:t>
      </w:r>
      <w:r>
        <w:rPr>
          <w:b/>
        </w:rPr>
        <w:t>DKT + Schaefer 200 + 4S 156</w:t>
      </w:r>
      <w:r>
        <w:t xml:space="preserve"> (all already supported by QSIRecon).</w:t>
      </w:r>
    </w:p>
    <w:p>
      <w:pPr>
        <w:pStyle w:val="ListBullet"/>
      </w:pPr>
      <w:r>
        <w:rPr>
          <w:b/>
        </w:rPr>
        <w:t>What it delivers:</w:t>
      </w:r>
      <w:r>
        <w:t xml:space="preserve"> either robustness across parcellations (win) or parcellation-specific sensitivity (also publishable insight)</w:t>
      </w:r>
    </w:p>
    <w:p>
      <w:pPr>
        <w:pStyle w:val="ListBullet"/>
      </w:pPr>
      <w:r>
        <w:rPr>
          <w:b/>
        </w:rPr>
        <w:t>Effort:</w:t>
      </w:r>
      <w:r>
        <w:t xml:space="preserve"> rerun connectome step only, ~1 week compute</w:t>
      </w:r>
    </w:p>
    <w:p>
      <w:pPr>
        <w:pStyle w:val="ListBullet"/>
      </w:pPr>
      <w:r>
        <w:rPr>
          <w:b/>
        </w:rPr>
        <w:t>Payoff:</w:t>
      </w:r>
      <w:r>
        <w:t xml:space="preserve"> preempts the "what if you'd used Schaefer instead?" reviewer question</w:t>
      </w:r>
    </w:p>
    <w:p>
      <w:pPr>
        <w:pStyle w:val="ListBullet"/>
      </w:pPr>
      <w:r>
        <w:rPr>
          <w:b/>
        </w:rPr>
        <w:t>Novelty:</w:t>
      </w:r>
      <w:r>
        <w:t xml:space="preserve"> ★★★</w:t>
      </w:r>
    </w:p>
    <w:p>
      <w:pPr>
        <w:pStyle w:val="Heading3"/>
      </w:pPr>
      <w:r>
        <w:t>7. Test-retest reliability on repeat scans</w:t>
      </w:r>
    </w:p>
    <w:p>
      <w:r>
        <w:t xml:space="preserve">Check whether TRACK-TBI has any subjects with </w:t>
      </w:r>
      <w:r>
        <w:rPr>
          <w:b/>
        </w:rPr>
        <w:t>repeat scans</w:t>
      </w:r>
      <w:r>
        <w:t xml:space="preserve"> (within-session, or between-session at short interval where biology is unchanged). Compute per-arm ICC per edge.</w:t>
      </w:r>
    </w:p>
    <w:p>
      <w:pPr>
        <w:pStyle w:val="ListBullet"/>
      </w:pPr>
      <w:r>
        <w:rPr>
          <w:b/>
        </w:rPr>
        <w:t>What it delivers:</w:t>
      </w:r>
      <w:r>
        <w:t xml:space="preserve"> if any arm has meaningfully higher ICC than others, that's a substantive reliability finding</w:t>
      </w:r>
    </w:p>
    <w:p>
      <w:pPr>
        <w:pStyle w:val="ListBullet"/>
      </w:pPr>
      <w:r>
        <w:rPr>
          <w:b/>
        </w:rPr>
        <w:t>Effort:</w:t>
      </w:r>
      <w:r>
        <w:t xml:space="preserve"> free if data exists; moderate analysis effort</w:t>
      </w:r>
    </w:p>
    <w:p>
      <w:pPr>
        <w:pStyle w:val="ListBullet"/>
      </w:pPr>
      <w:r>
        <w:rPr>
          <w:b/>
        </w:rPr>
        <w:t>Payoff:</w:t>
      </w:r>
      <w:r>
        <w:t xml:space="preserve"> reliability is a first-class methodological contribution NeuroImage rewards</w:t>
      </w:r>
    </w:p>
    <w:p>
      <w:pPr>
        <w:pStyle w:val="ListBullet"/>
      </w:pPr>
      <w:r>
        <w:rPr>
          <w:b/>
        </w:rPr>
        <w:t>Novelty:</w:t>
      </w:r>
      <w:r>
        <w:t xml:space="preserve"> ★★★</w:t>
      </w:r>
    </w:p>
    <w:p>
      <w:pPr>
        <w:pStyle w:val="ListBullet"/>
      </w:pPr>
      <w:r>
        <w:rPr>
          <w:b/>
        </w:rPr>
        <w:t>Dependency:</w:t>
      </w:r>
      <w:r>
        <w:t xml:space="preserve"> need to verify TRACK-TBI actually has repeat scans on the lesion-mask cohort</w:t>
      </w:r>
    </w:p>
    <w:p>
      <w:pPr>
        <w:pStyle w:val="Heading3"/>
      </w:pPr>
      <w:r>
        <w:t>8. Lesion-topology → arm-recommendation decision tree</w:t>
      </w:r>
    </w:p>
    <w:p>
      <w:r>
        <w:t xml:space="preserve">Turn the factorial results into an </w:t>
      </w:r>
      <w:r>
        <w:rPr>
          <w:b/>
        </w:rPr>
        <w:t>actionable clinical decision aid</w:t>
      </w:r>
      <w:r>
        <w:t xml:space="preserve">: </w:t>
      </w:r>
      <w:r>
        <w:rPr>
          <w:i/>
        </w:rPr>
        <w:t>"given this lesion location + volume + bilaterality, use arm X."</w:t>
      </w:r>
      <w:r>
        <w:t xml:space="preserve"> Published as a supplement + accessible via the pipeline (JSON lookup or Python function).</w:t>
      </w:r>
    </w:p>
    <w:p>
      <w:pPr>
        <w:pStyle w:val="ListBullet"/>
      </w:pPr>
      <w:r>
        <w:rPr>
          <w:b/>
        </w:rPr>
        <w:t>What it delivers:</w:t>
      </w:r>
      <w:r>
        <w:t xml:space="preserve"> shifts the paper's function from methods-sensitivity characterization to actionable practice guidance</w:t>
      </w:r>
    </w:p>
    <w:p>
      <w:pPr>
        <w:pStyle w:val="ListBullet"/>
      </w:pPr>
      <w:r>
        <w:rPr>
          <w:b/>
        </w:rPr>
        <w:t>Effort:</w:t>
      </w:r>
      <w:r>
        <w:t xml:space="preserve"> post-hoc analysis on cohort results, 1–2 weeks</w:t>
      </w:r>
    </w:p>
    <w:p>
      <w:pPr>
        <w:pStyle w:val="ListBullet"/>
      </w:pPr>
      <w:r>
        <w:rPr>
          <w:b/>
        </w:rPr>
        <w:t>Payoff:</w:t>
      </w:r>
      <w:r>
        <w:t xml:space="preserve"> paper gets cited by clinical / downstream users, not just methods peers</w:t>
      </w:r>
    </w:p>
    <w:p>
      <w:pPr>
        <w:pStyle w:val="ListBullet"/>
      </w:pPr>
      <w:r>
        <w:rPr>
          <w:b/>
        </w:rPr>
        <w:t>Novelty:</w:t>
      </w:r>
      <w:r>
        <w:t xml:space="preserve"> ★★★★</w:t>
      </w:r>
    </w:p>
    <w:p>
      <w:pPr>
        <w:pStyle w:val="ListBullet"/>
      </w:pPr>
      <w:r>
        <w:rPr>
          <w:b/>
        </w:rPr>
        <w:t>Highest marginal value</w:t>
      </w:r>
      <w:r>
        <w:t xml:space="preserve"> among all Tier 1 items — this alone rewrites the paper's function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Tier 2 — medium leverage, worth if timeline permits</w:t>
      </w:r>
    </w:p>
    <w:p>
      <w:pPr>
        <w:pStyle w:val="Heading3"/>
      </w:pPr>
      <w:r>
        <w:t>9. Automated lesion segmentation comparison</w:t>
      </w:r>
    </w:p>
    <w:p>
      <w:r>
        <w:t>Compare arm behavior when lesion mask is clinician-traced vs auto-segmented (nnU-Net / MELD). Rerun subset of subjects with both mask sources.</w:t>
      </w:r>
    </w:p>
    <w:p>
      <w:pPr>
        <w:pStyle w:val="ListBullet"/>
      </w:pPr>
      <w:r>
        <w:rPr>
          <w:b/>
        </w:rPr>
        <w:t>What it delivers:</w:t>
      </w:r>
      <w:r>
        <w:t xml:space="preserve"> sensitivity to mask source + enables fully-automated pipeline use without expert tracers</w:t>
      </w:r>
    </w:p>
    <w:p>
      <w:pPr>
        <w:pStyle w:val="ListBullet"/>
      </w:pPr>
      <w:r>
        <w:rPr>
          <w:b/>
        </w:rPr>
        <w:t>Effort:</w:t>
      </w:r>
      <w:r>
        <w:t xml:space="preserve"> 2× compute for a subset</w:t>
      </w:r>
    </w:p>
    <w:p>
      <w:pPr>
        <w:pStyle w:val="ListBullet"/>
      </w:pPr>
      <w:r>
        <w:rPr>
          <w:b/>
        </w:rPr>
        <w:t>Payoff:</w:t>
      </w:r>
      <w:r>
        <w:t xml:space="preserve"> enables scaling beyond expert-traced cohorts</w:t>
      </w:r>
    </w:p>
    <w:p>
      <w:pPr>
        <w:pStyle w:val="ListBullet"/>
      </w:pPr>
      <w:r>
        <w:rPr>
          <w:b/>
        </w:rPr>
        <w:t>Novelty:</w:t>
      </w:r>
      <w:r>
        <w:t xml:space="preserve"> ★★</w:t>
      </w:r>
    </w:p>
    <w:p>
      <w:pPr>
        <w:pStyle w:val="Heading3"/>
      </w:pPr>
      <w:r>
        <w:t>10. Multi-measure connectome consistency</w:t>
      </w:r>
    </w:p>
    <w:p>
      <w:r>
        <w:t xml:space="preserve">The pipeline already produces multiple edge measures from one tractogram: streamline count, SIFT2-weighted, mean length, mean FA, mean MD. Report whether the six-arm factorial effects are </w:t>
      </w:r>
      <w:r>
        <w:rPr>
          <w:b/>
        </w:rPr>
        <w:t>consistent across measures</w:t>
      </w:r>
      <w:r>
        <w:t>.</w:t>
      </w:r>
    </w:p>
    <w:p>
      <w:pPr>
        <w:pStyle w:val="ListBullet"/>
      </w:pPr>
      <w:r>
        <w:rPr>
          <w:b/>
        </w:rPr>
        <w:t>What it delivers:</w:t>
      </w:r>
      <w:r>
        <w:t xml:space="preserve"> robustness if consistent; insight into measure sensitivity if not</w:t>
      </w:r>
    </w:p>
    <w:p>
      <w:pPr>
        <w:pStyle w:val="ListBullet"/>
      </w:pPr>
      <w:r>
        <w:rPr>
          <w:b/>
        </w:rPr>
        <w:t>Effort:</w:t>
      </w:r>
      <w:r>
        <w:t xml:space="preserve"> analysis-only, no additional compute</w:t>
      </w:r>
    </w:p>
    <w:p>
      <w:pPr>
        <w:pStyle w:val="ListBullet"/>
      </w:pPr>
      <w:r>
        <w:rPr>
          <w:b/>
        </w:rPr>
        <w:t>Payoff:</w:t>
      </w:r>
      <w:r>
        <w:t xml:space="preserve"> turns an underused pipeline capability into a robustness figure</w:t>
      </w:r>
    </w:p>
    <w:p>
      <w:pPr>
        <w:pStyle w:val="ListBullet"/>
      </w:pPr>
      <w:r>
        <w:rPr>
          <w:b/>
        </w:rPr>
        <w:t>Novelty:</w:t>
      </w:r>
      <w:r>
        <w:t xml:space="preserve"> ★★</w:t>
      </w:r>
    </w:p>
    <w:p>
      <w:pPr>
        <w:pStyle w:val="ListBullet"/>
      </w:pPr>
      <w:r>
        <w:rPr>
          <w:b/>
        </w:rPr>
        <w:t>Best per-unit-effort</w:t>
      </w:r>
      <w:r>
        <w:t xml:space="preserve"> in Tier 2</w:t>
      </w:r>
    </w:p>
    <w:p>
      <w:pPr>
        <w:pStyle w:val="Heading3"/>
      </w:pPr>
      <w:r>
        <w:t>11. Cross-site harmonization analysis</w:t>
      </w:r>
    </w:p>
    <w:p>
      <w:r>
        <w:t xml:space="preserve">TRACK-TBI is multi-site. Test whether per-arm effects survive </w:t>
      </w:r>
      <w:r>
        <w:rPr>
          <w:b/>
        </w:rPr>
        <w:t>ComBat or site-fixed-effects</w:t>
      </w:r>
      <w:r>
        <w:t xml:space="preserve"> harmonization.</w:t>
      </w:r>
    </w:p>
    <w:p>
      <w:pPr>
        <w:pStyle w:val="ListBullet"/>
      </w:pPr>
      <w:r>
        <w:rPr>
          <w:b/>
        </w:rPr>
        <w:t>What it delivers:</w:t>
      </w:r>
      <w:r>
        <w:t xml:space="preserve"> LeAPP was single-site; cross-site is what a real-world TBI processing pipeline needs</w:t>
      </w:r>
    </w:p>
    <w:p>
      <w:pPr>
        <w:pStyle w:val="ListBullet"/>
      </w:pPr>
      <w:r>
        <w:rPr>
          <w:b/>
        </w:rPr>
        <w:t>Effort:</w:t>
      </w:r>
      <w:r>
        <w:t xml:space="preserve"> analysis-only</w:t>
      </w:r>
    </w:p>
    <w:p>
      <w:pPr>
        <w:pStyle w:val="ListBullet"/>
      </w:pPr>
      <w:r>
        <w:rPr>
          <w:b/>
        </w:rPr>
        <w:t>Payoff:</w:t>
      </w:r>
      <w:r>
        <w:t xml:space="preserve"> cross-site generalizability strengthening beyond LeAPP</w:t>
      </w:r>
    </w:p>
    <w:p>
      <w:pPr>
        <w:pStyle w:val="ListBullet"/>
      </w:pPr>
      <w:r>
        <w:rPr>
          <w:b/>
        </w:rPr>
        <w:t>Novelty:</w:t>
      </w:r>
      <w:r>
        <w:t xml:space="preserve"> ★★★</w:t>
      </w:r>
    </w:p>
    <w:p>
      <w:pPr>
        <w:pStyle w:val="Heading3"/>
      </w:pPr>
      <w:r>
        <w:t>12. Prospective preregistration</w:t>
      </w:r>
    </w:p>
    <w:p>
      <w:r>
        <w:t xml:space="preserve">Post the analysis plan (already drafted in </w:t>
      </w:r>
      <w:r>
        <w:rPr>
          <w:color w:val="1F4E79"/>
          <w:u w:val="single"/>
        </w:rPr>
        <w:t>`analysis_plan.md`</w:t>
      </w:r>
      <w:r>
        <w:t xml:space="preserve">) to OSF or AsPredicted </w:t>
      </w:r>
      <w:r>
        <w:rPr>
          <w:b/>
        </w:rPr>
        <w:t>before opening group results</w:t>
      </w:r>
      <w:r>
        <w:t>.</w:t>
      </w:r>
    </w:p>
    <w:p>
      <w:pPr>
        <w:pStyle w:val="ListBullet"/>
      </w:pPr>
      <w:r>
        <w:rPr>
          <w:b/>
        </w:rPr>
        <w:t>What it delivers:</w:t>
      </w:r>
      <w:r>
        <w:t xml:space="preserve"> LeAPP wasn't prospectively registered</w:t>
      </w:r>
    </w:p>
    <w:p>
      <w:pPr>
        <w:pStyle w:val="ListBullet"/>
      </w:pPr>
      <w:r>
        <w:rPr>
          <w:b/>
        </w:rPr>
        <w:t>Effort:</w:t>
      </w:r>
      <w:r>
        <w:t xml:space="preserve"> 1 day</w:t>
      </w:r>
    </w:p>
    <w:p>
      <w:pPr>
        <w:pStyle w:val="ListBullet"/>
      </w:pPr>
      <w:r>
        <w:rPr>
          <w:b/>
        </w:rPr>
        <w:t>Payoff:</w:t>
      </w:r>
      <w:r>
        <w:t xml:space="preserve"> reviewer trust in the primary contrasts; explicit anti-p-hacking signal</w:t>
      </w:r>
    </w:p>
    <w:p>
      <w:pPr>
        <w:pStyle w:val="ListBullet"/>
      </w:pPr>
      <w:r>
        <w:rPr>
          <w:b/>
        </w:rPr>
        <w:t>Novelty:</w:t>
      </w:r>
      <w:r>
        <w:t xml:space="preserve"> ★★</w:t>
      </w:r>
    </w:p>
    <w:p>
      <w:pPr>
        <w:pStyle w:val="ListBullet"/>
      </w:pPr>
      <w:r>
        <w:rPr>
          <w:b/>
        </w:rPr>
        <w:t>Highest per-day-of-effort</w:t>
      </w:r>
      <w:r>
        <w:t xml:space="preserve"> payoff of any item on this list</w:t>
      </w:r>
    </w:p>
    <w:p>
      <w:pPr>
        <w:pStyle w:val="Heading3"/>
      </w:pPr>
      <w:r>
        <w:t>13. Deep Atropos as full third arm dimension</w:t>
      </w:r>
    </w:p>
    <w:p>
      <w:r>
        <w:t xml:space="preserve">Currently Deep Atropos is a supplement figure only. If we run the full factorial as </w:t>
      </w:r>
      <w:r>
        <w:rPr>
          <w:b/>
        </w:rPr>
        <w:t>3 anatomy × 2 ACT × 2 5TT source</w:t>
      </w:r>
      <w:r>
        <w:t xml:space="preserve"> = 12 arms (adding Deep Atropos vs HSVS as a third axis), we get a </w:t>
      </w:r>
      <w:r>
        <w:rPr>
          <w:b/>
        </w:rPr>
        <w:t>3×2×2 factorial</w:t>
      </w:r>
      <w:r>
        <w:t xml:space="preserve"> — meaningfully more than LeAPP's 2×2.</w:t>
      </w:r>
    </w:p>
    <w:p>
      <w:pPr>
        <w:pStyle w:val="ListBullet"/>
      </w:pPr>
      <w:r>
        <w:rPr>
          <w:b/>
        </w:rPr>
        <w:t>What it delivers:</w:t>
      </w:r>
      <w:r>
        <w:t xml:space="preserve"> turns a supplement into a first-class contribution; makes the factorial genuinely more complex than LeAPP's</w:t>
      </w:r>
    </w:p>
    <w:p>
      <w:pPr>
        <w:pStyle w:val="ListBullet"/>
      </w:pPr>
      <w:r>
        <w:rPr>
          <w:b/>
        </w:rPr>
        <w:t>Effort:</w:t>
      </w:r>
      <w:r>
        <w:t xml:space="preserve"> 2× cohort processing compute</w:t>
      </w:r>
    </w:p>
    <w:p>
      <w:pPr>
        <w:pStyle w:val="ListBullet"/>
      </w:pPr>
      <w:r>
        <w:rPr>
          <w:b/>
        </w:rPr>
        <w:t>Payoff:</w:t>
      </w:r>
      <w:r>
        <w:t xml:space="preserve"> biggest structural expansion of the factorial design</w:t>
      </w:r>
    </w:p>
    <w:p>
      <w:pPr>
        <w:pStyle w:val="ListBullet"/>
      </w:pPr>
      <w:r>
        <w:rPr>
          <w:b/>
        </w:rPr>
        <w:t>Novelty:</w:t>
      </w:r>
      <w:r>
        <w:t xml:space="preserve"> ★★★★</w:t>
      </w:r>
    </w:p>
    <w:p>
      <w:pPr>
        <w:pStyle w:val="ListBullet"/>
      </w:pPr>
      <w:r>
        <w:rPr>
          <w:b/>
        </w:rPr>
        <w:t>Trade-off:</w:t>
      </w:r>
      <w:r>
        <w:t xml:space="preserve"> scope-expanding — may require slower cohort processing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Tier 3 — nice-to-have, mostly skip</w:t>
      </w:r>
    </w:p>
    <w:p>
      <w:r>
        <w:t>These are either niche, cannibalize other papers, or add marginal value.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Addition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Reason to skip</w:t>
            </w:r>
          </w:p>
        </w:tc>
      </w:tr>
      <w:tr>
        <w:tc>
          <w:tcPr>
            <w:tcW w:type="dxa" w:w="3216"/>
          </w:tcPr>
          <w:p>
            <w:r/>
            <w:r>
              <w:t>14</w:t>
            </w:r>
          </w:p>
        </w:tc>
        <w:tc>
          <w:tcPr>
            <w:tcW w:type="dxa" w:w="3216"/>
          </w:tcPr>
          <w:p>
            <w:r/>
            <w:r>
              <w:t>Multi-shell DWI robustness</w:t>
            </w:r>
          </w:p>
        </w:tc>
        <w:tc>
          <w:tcPr>
            <w:tcW w:type="dxa" w:w="3216"/>
          </w:tcPr>
          <w:p>
            <w:r/>
            <w:r>
              <w:t>Depends on cohort having multi-shell subjects; probably too niche</w:t>
            </w:r>
          </w:p>
        </w:tc>
      </w:tr>
      <w:tr>
        <w:tc>
          <w:tcPr>
            <w:tcW w:type="dxa" w:w="3216"/>
          </w:tcPr>
          <w:p>
            <w:r/>
            <w:r>
              <w:t>15</w:t>
            </w:r>
          </w:p>
        </w:tc>
        <w:tc>
          <w:tcPr>
            <w:tcW w:type="dxa" w:w="3216"/>
          </w:tcPr>
          <w:p>
            <w:r/>
            <w:r>
              <w:t>Publish BIDS-Derivatives on Zenodo with DOI</w:t>
            </w:r>
          </w:p>
        </w:tc>
        <w:tc>
          <w:tcPr>
            <w:tcW w:type="dxa" w:w="3216"/>
          </w:tcPr>
          <w:p>
            <w:r/>
            <w:r>
              <w:t>Standard practice, not a novelty differentiator</w:t>
            </w:r>
          </w:p>
        </w:tc>
      </w:tr>
      <w:tr>
        <w:tc>
          <w:tcPr>
            <w:tcW w:type="dxa" w:w="3216"/>
          </w:tcPr>
          <w:p>
            <w:r/>
            <w:r>
              <w:t>16</w:t>
            </w:r>
          </w:p>
        </w:tc>
        <w:tc>
          <w:tcPr>
            <w:tcW w:type="dxa" w:w="3216"/>
          </w:tcPr>
          <w:p>
            <w:r/>
            <w:r>
              <w:t>LQT/BCB SDC cross-check</w:t>
            </w:r>
          </w:p>
        </w:tc>
        <w:tc>
          <w:tcPr>
            <w:tcW w:type="dxa" w:w="3216"/>
          </w:tcPr>
          <w:p>
            <w:r/>
            <w:r>
              <w:t>That's Paper 2 territory; cannibalizes Paper 2's methods contribution</w:t>
            </w:r>
          </w:p>
        </w:tc>
      </w:tr>
      <w:tr>
        <w:tc>
          <w:tcPr>
            <w:tcW w:type="dxa" w:w="3216"/>
          </w:tcPr>
          <w:p>
            <w:r/>
            <w:r>
              <w:t>17</w:t>
            </w:r>
          </w:p>
        </w:tc>
        <w:tc>
          <w:tcPr>
            <w:tcW w:type="dxa" w:w="3216"/>
          </w:tcPr>
          <w:p>
            <w:r/>
            <w:r>
              <w:t>Full FC integration as robustness</w:t>
            </w:r>
          </w:p>
        </w:tc>
        <w:tc>
          <w:tcPr>
            <w:tcW w:type="dxa" w:w="3216"/>
          </w:tcPr>
          <w:p>
            <w:r/>
            <w:r>
              <w:t>That's Paper 2's Griffis chain; leave it there</w:t>
            </w:r>
          </w:p>
        </w:tc>
      </w:tr>
      <w:tr>
        <w:tc>
          <w:tcPr>
            <w:tcW w:type="dxa" w:w="3216"/>
          </w:tcPr>
          <w:p>
            <w:r/>
            <w:r>
              <w:t>18</w:t>
            </w:r>
          </w:p>
        </w:tc>
        <w:tc>
          <w:tcPr>
            <w:tcW w:type="dxa" w:w="3216"/>
          </w:tcPr>
          <w:p>
            <w:r/>
            <w:r>
              <w:t>Effect of MRI acquisition parameters</w:t>
            </w:r>
          </w:p>
        </w:tc>
        <w:tc>
          <w:tcPr>
            <w:tcW w:type="dxa" w:w="3216"/>
          </w:tcPr>
          <w:p>
            <w:r/>
            <w:r>
              <w:t>Interesting but requires acquisition-heterogeneity data specifically</w:t>
            </w:r>
          </w:p>
        </w:tc>
      </w:tr>
      <w:tr>
        <w:tc>
          <w:tcPr>
            <w:tcW w:type="dxa" w:w="3216"/>
          </w:tcPr>
          <w:p>
            <w:r/>
            <w:r>
              <w:t>19</w:t>
            </w:r>
          </w:p>
        </w:tc>
        <w:tc>
          <w:tcPr>
            <w:tcW w:type="dxa" w:w="3216"/>
          </w:tcPr>
          <w:p>
            <w:r/>
            <w:r>
              <w:t>Data-augmented training / validation</w:t>
            </w:r>
          </w:p>
        </w:tc>
        <w:tc>
          <w:tcPr>
            <w:tcW w:type="dxa" w:w="3216"/>
          </w:tcPr>
          <w:p>
            <w:r/>
            <w:r>
              <w:t>ML-adjacent; expands scope beyond factorial paper</w:t>
            </w:r>
          </w:p>
        </w:tc>
      </w:tr>
      <w:tr>
        <w:tc>
          <w:tcPr>
            <w:tcW w:type="dxa" w:w="3216"/>
          </w:tcPr>
          <w:p>
            <w:r/>
            <w:r>
              <w:t>20</w:t>
            </w:r>
          </w:p>
        </w:tc>
        <w:tc>
          <w:tcPr>
            <w:tcW w:type="dxa" w:w="3216"/>
          </w:tcPr>
          <w:p>
            <w:r/>
            <w:r>
              <w:t>Lesion age (acute / subacute / chronic) stratification</w:t>
            </w:r>
          </w:p>
        </w:tc>
        <w:tc>
          <w:tcPr>
            <w:tcW w:type="dxa" w:w="3216"/>
          </w:tcPr>
          <w:p>
            <w:r/>
            <w:r>
              <w:t>Depends on TRACK-TBI having enough spread in visit timing</w:t>
            </w:r>
          </w:p>
        </w:tc>
      </w:tr>
    </w:tbl>
    <w:p/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Compound-effect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Addition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Novelty gain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Effort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Marginal ROI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Tier 0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1 — Tier B synthetic validation</w:t>
            </w:r>
          </w:p>
        </w:tc>
        <w:tc>
          <w:tcPr>
            <w:tcW w:type="dxa" w:w="2412"/>
          </w:tcPr>
          <w:p>
            <w:r/>
            <w:r>
              <w:t>★★★★</w:t>
            </w:r>
          </w:p>
        </w:tc>
        <w:tc>
          <w:tcPr>
            <w:tcW w:type="dxa" w:w="2412"/>
          </w:tcPr>
          <w:p>
            <w:r/>
            <w:r>
              <w:t>4 wks</w:t>
            </w:r>
          </w:p>
        </w:tc>
        <w:tc>
          <w:tcPr>
            <w:tcW w:type="dxa" w:w="2412"/>
          </w:tcPr>
          <w:p>
            <w:r/>
            <w:r>
              <w:t>Best (single biggest lever)</w:t>
            </w:r>
          </w:p>
        </w:tc>
      </w:tr>
      <w:tr>
        <w:tc>
          <w:tcPr>
            <w:tcW w:type="dxa" w:w="2412"/>
          </w:tcPr>
          <w:p>
            <w:r/>
            <w:r>
              <w:t>2 — Framework naming</w:t>
            </w:r>
          </w:p>
        </w:tc>
        <w:tc>
          <w:tcPr>
            <w:tcW w:type="dxa" w:w="2412"/>
          </w:tcPr>
          <w:p>
            <w:r/>
            <w:r>
              <w:t>★★</w:t>
            </w:r>
          </w:p>
        </w:tc>
        <w:tc>
          <w:tcPr>
            <w:tcW w:type="dxa" w:w="2412"/>
          </w:tcPr>
          <w:p>
            <w:r/>
            <w:r>
              <w:t>1 day</w:t>
            </w:r>
          </w:p>
        </w:tc>
        <w:tc>
          <w:tcPr>
            <w:tcW w:type="dxa" w:w="2412"/>
          </w:tcPr>
          <w:p>
            <w:r/>
            <w:r>
              <w:t>Best (highest per-day)</w:t>
            </w:r>
          </w:p>
        </w:tc>
      </w:tr>
      <w:tr>
        <w:tc>
          <w:tcPr>
            <w:tcW w:type="dxa" w:w="2412"/>
          </w:tcPr>
          <w:p>
            <w:r/>
            <w:r>
              <w:t>3 — Foreground neuroLIT</w:t>
            </w:r>
          </w:p>
        </w:tc>
        <w:tc>
          <w:tcPr>
            <w:tcW w:type="dxa" w:w="2412"/>
          </w:tcPr>
          <w:p>
            <w:r/>
            <w:r>
              <w:t>★★</w:t>
            </w:r>
          </w:p>
        </w:tc>
        <w:tc>
          <w:tcPr>
            <w:tcW w:type="dxa" w:w="2412"/>
          </w:tcPr>
          <w:p>
            <w:r/>
            <w:r>
              <w:t>Analysis-only</w:t>
            </w:r>
          </w:p>
        </w:tc>
        <w:tc>
          <w:tcPr>
            <w:tcW w:type="dxa" w:w="2412"/>
          </w:tcPr>
          <w:p>
            <w:r/>
            <w:r>
              <w:t>Best</w:t>
            </w:r>
          </w:p>
        </w:tc>
      </w:tr>
      <w:tr>
        <w:tc>
          <w:tcPr>
            <w:tcW w:type="dxa" w:w="2412"/>
          </w:tcPr>
          <w:p>
            <w:r/>
            <w:r>
              <w:t>4 — First-class bilateral handling</w:t>
            </w:r>
          </w:p>
        </w:tc>
        <w:tc>
          <w:tcPr>
            <w:tcW w:type="dxa" w:w="2412"/>
          </w:tcPr>
          <w:p>
            <w:r/>
            <w:r>
              <w:t>★★★</w:t>
            </w:r>
          </w:p>
        </w:tc>
        <w:tc>
          <w:tcPr>
            <w:tcW w:type="dxa" w:w="2412"/>
          </w:tcPr>
          <w:p>
            <w:r/>
            <w:r>
              <w:t>Analysis-only</w:t>
            </w:r>
          </w:p>
        </w:tc>
        <w:tc>
          <w:tcPr>
            <w:tcW w:type="dxa" w:w="2412"/>
          </w:tcPr>
          <w:p>
            <w:r/>
            <w:r>
              <w:t>Best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Tier 1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5 — Edge uncertainty quantification</w:t>
            </w:r>
          </w:p>
        </w:tc>
        <w:tc>
          <w:tcPr>
            <w:tcW w:type="dxa" w:w="2412"/>
          </w:tcPr>
          <w:p>
            <w:r/>
            <w:r>
              <w:t>★★★</w:t>
            </w:r>
          </w:p>
        </w:tc>
        <w:tc>
          <w:tcPr>
            <w:tcW w:type="dxa" w:w="2412"/>
          </w:tcPr>
          <w:p>
            <w:r/>
            <w:r>
              <w:t>2 wks</w:t>
            </w:r>
          </w:p>
        </w:tc>
        <w:tc>
          <w:tcPr>
            <w:tcW w:type="dxa" w:w="2412"/>
          </w:tcPr>
          <w:p>
            <w:r/>
            <w:r>
              <w:t>High</w:t>
            </w:r>
          </w:p>
        </w:tc>
      </w:tr>
      <w:tr>
        <w:tc>
          <w:tcPr>
            <w:tcW w:type="dxa" w:w="2412"/>
          </w:tcPr>
          <w:p>
            <w:r/>
            <w:r>
              <w:t>6 — Cross-parcellation robustness</w:t>
            </w:r>
          </w:p>
        </w:tc>
        <w:tc>
          <w:tcPr>
            <w:tcW w:type="dxa" w:w="2412"/>
          </w:tcPr>
          <w:p>
            <w:r/>
            <w:r>
              <w:t>★★★</w:t>
            </w:r>
          </w:p>
        </w:tc>
        <w:tc>
          <w:tcPr>
            <w:tcW w:type="dxa" w:w="2412"/>
          </w:tcPr>
          <w:p>
            <w:r/>
            <w:r>
              <w:t>1 wk</w:t>
            </w:r>
          </w:p>
        </w:tc>
        <w:tc>
          <w:tcPr>
            <w:tcW w:type="dxa" w:w="2412"/>
          </w:tcPr>
          <w:p>
            <w:r/>
            <w:r>
              <w:t>High</w:t>
            </w:r>
          </w:p>
        </w:tc>
      </w:tr>
      <w:tr>
        <w:tc>
          <w:tcPr>
            <w:tcW w:type="dxa" w:w="2412"/>
          </w:tcPr>
          <w:p>
            <w:r/>
            <w:r>
              <w:t>7 — Test-retest reliability</w:t>
            </w:r>
          </w:p>
        </w:tc>
        <w:tc>
          <w:tcPr>
            <w:tcW w:type="dxa" w:w="2412"/>
          </w:tcPr>
          <w:p>
            <w:r/>
            <w:r>
              <w:t>★★★</w:t>
            </w:r>
          </w:p>
        </w:tc>
        <w:tc>
          <w:tcPr>
            <w:tcW w:type="dxa" w:w="2412"/>
          </w:tcPr>
          <w:p>
            <w:r/>
            <w:r>
              <w:t>Free if data</w:t>
            </w:r>
          </w:p>
        </w:tc>
        <w:tc>
          <w:tcPr>
            <w:tcW w:type="dxa" w:w="2412"/>
          </w:tcPr>
          <w:p>
            <w:r/>
            <w:r>
              <w:t>Depends on data availability</w:t>
            </w:r>
          </w:p>
        </w:tc>
      </w:tr>
      <w:tr>
        <w:tc>
          <w:tcPr>
            <w:tcW w:type="dxa" w:w="2412"/>
          </w:tcPr>
          <w:p>
            <w:r/>
            <w:r>
              <w:t>8 — Decision-tree recommendation</w:t>
            </w:r>
          </w:p>
        </w:tc>
        <w:tc>
          <w:tcPr>
            <w:tcW w:type="dxa" w:w="2412"/>
          </w:tcPr>
          <w:p>
            <w:r/>
            <w:r>
              <w:t>★★★★</w:t>
            </w:r>
          </w:p>
        </w:tc>
        <w:tc>
          <w:tcPr>
            <w:tcW w:type="dxa" w:w="2412"/>
          </w:tcPr>
          <w:p>
            <w:r/>
            <w:r>
              <w:t>1-2 wks</w:t>
            </w:r>
          </w:p>
        </w:tc>
        <w:tc>
          <w:tcPr>
            <w:tcW w:type="dxa" w:w="2412"/>
          </w:tcPr>
          <w:p>
            <w:r/>
            <w:r>
              <w:t>Very high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Tier 2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9 — Auto-segmentation comparison</w:t>
            </w:r>
          </w:p>
        </w:tc>
        <w:tc>
          <w:tcPr>
            <w:tcW w:type="dxa" w:w="2412"/>
          </w:tcPr>
          <w:p>
            <w:r/>
            <w:r>
              <w:t>★★</w:t>
            </w:r>
          </w:p>
        </w:tc>
        <w:tc>
          <w:tcPr>
            <w:tcW w:type="dxa" w:w="2412"/>
          </w:tcPr>
          <w:p>
            <w:r/>
            <w:r>
              <w:t>2× compute</w:t>
            </w:r>
          </w:p>
        </w:tc>
        <w:tc>
          <w:tcPr>
            <w:tcW w:type="dxa" w:w="2412"/>
          </w:tcPr>
          <w:p>
            <w:r/>
            <w:r>
              <w:t>Medium</w:t>
            </w:r>
          </w:p>
        </w:tc>
      </w:tr>
      <w:tr>
        <w:tc>
          <w:tcPr>
            <w:tcW w:type="dxa" w:w="2412"/>
          </w:tcPr>
          <w:p>
            <w:r/>
            <w:r>
              <w:t>10 — Multi-measure consistency</w:t>
            </w:r>
          </w:p>
        </w:tc>
        <w:tc>
          <w:tcPr>
            <w:tcW w:type="dxa" w:w="2412"/>
          </w:tcPr>
          <w:p>
            <w:r/>
            <w:r>
              <w:t>★★</w:t>
            </w:r>
          </w:p>
        </w:tc>
        <w:tc>
          <w:tcPr>
            <w:tcW w:type="dxa" w:w="2412"/>
          </w:tcPr>
          <w:p>
            <w:r/>
            <w:r>
              <w:t>Analysis-only</w:t>
            </w:r>
          </w:p>
        </w:tc>
        <w:tc>
          <w:tcPr>
            <w:tcW w:type="dxa" w:w="2412"/>
          </w:tcPr>
          <w:p>
            <w:r/>
            <w:r>
              <w:t>High per unit effort</w:t>
            </w:r>
          </w:p>
        </w:tc>
      </w:tr>
      <w:tr>
        <w:tc>
          <w:tcPr>
            <w:tcW w:type="dxa" w:w="2412"/>
          </w:tcPr>
          <w:p>
            <w:r/>
            <w:r>
              <w:t>11 — Cross-site harmonization</w:t>
            </w:r>
          </w:p>
        </w:tc>
        <w:tc>
          <w:tcPr>
            <w:tcW w:type="dxa" w:w="2412"/>
          </w:tcPr>
          <w:p>
            <w:r/>
            <w:r>
              <w:t>★★★</w:t>
            </w:r>
          </w:p>
        </w:tc>
        <w:tc>
          <w:tcPr>
            <w:tcW w:type="dxa" w:w="2412"/>
          </w:tcPr>
          <w:p>
            <w:r/>
            <w:r>
              <w:t>Analysis-only</w:t>
            </w:r>
          </w:p>
        </w:tc>
        <w:tc>
          <w:tcPr>
            <w:tcW w:type="dxa" w:w="2412"/>
          </w:tcPr>
          <w:p>
            <w:r/>
            <w:r>
              <w:t>High</w:t>
            </w:r>
          </w:p>
        </w:tc>
      </w:tr>
      <w:tr>
        <w:tc>
          <w:tcPr>
            <w:tcW w:type="dxa" w:w="2412"/>
          </w:tcPr>
          <w:p>
            <w:r/>
            <w:r>
              <w:t>12 — Preregistration</w:t>
            </w:r>
          </w:p>
        </w:tc>
        <w:tc>
          <w:tcPr>
            <w:tcW w:type="dxa" w:w="2412"/>
          </w:tcPr>
          <w:p>
            <w:r/>
            <w:r>
              <w:t>★★</w:t>
            </w:r>
          </w:p>
        </w:tc>
        <w:tc>
          <w:tcPr>
            <w:tcW w:type="dxa" w:w="2412"/>
          </w:tcPr>
          <w:p>
            <w:r/>
            <w:r>
              <w:t>1 day</w:t>
            </w:r>
          </w:p>
        </w:tc>
        <w:tc>
          <w:tcPr>
            <w:tcW w:type="dxa" w:w="2412"/>
          </w:tcPr>
          <w:p>
            <w:r/>
            <w:r>
              <w:t>Highest per-day</w:t>
            </w:r>
          </w:p>
        </w:tc>
      </w:tr>
      <w:tr>
        <w:tc>
          <w:tcPr>
            <w:tcW w:type="dxa" w:w="2412"/>
          </w:tcPr>
          <w:p>
            <w:r/>
            <w:r>
              <w:t>13 — Deep Atropos as full arm</w:t>
            </w:r>
          </w:p>
        </w:tc>
        <w:tc>
          <w:tcPr>
            <w:tcW w:type="dxa" w:w="2412"/>
          </w:tcPr>
          <w:p>
            <w:r/>
            <w:r>
              <w:t>★★★★</w:t>
            </w:r>
          </w:p>
        </w:tc>
        <w:tc>
          <w:tcPr>
            <w:tcW w:type="dxa" w:w="2412"/>
          </w:tcPr>
          <w:p>
            <w:r/>
            <w:r>
              <w:t>2× compute</w:t>
            </w:r>
          </w:p>
        </w:tc>
        <w:tc>
          <w:tcPr>
            <w:tcW w:type="dxa" w:w="2412"/>
          </w:tcPr>
          <w:p>
            <w:r/>
            <w:r>
              <w:t>High but scope-expanding</w:t>
            </w:r>
          </w:p>
        </w:tc>
      </w:tr>
    </w:tbl>
    <w:p/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Realistic combined packages</w:t>
      </w:r>
    </w:p>
    <w:p>
      <w:pPr>
        <w:pStyle w:val="Heading3"/>
      </w:pPr>
      <w:r>
        <w:t>Minimal package (Tier 0 only)</w:t>
      </w:r>
    </w:p>
    <w:p>
      <w:r>
        <w:t>Add items 1–4. Distance from LeAPP: modest. Landing zone: HBM default, NeuroImage stretch achievable if Tier B validation lands cleanly.</w:t>
      </w:r>
    </w:p>
    <w:p>
      <w:pPr>
        <w:pStyle w:val="Heading3"/>
      </w:pPr>
      <w:r>
        <w:t>Recommended package (Tier 0 + selected Tier 1 + selected Tier 2)</w:t>
      </w:r>
    </w:p>
    <w:p>
      <w:r>
        <w:t>Add items 1, 2, 3, 4, 5, 6, 8, 10, 11, 12.</w:t>
      </w:r>
    </w:p>
    <w:p>
      <w:pPr>
        <w:pStyle w:val="ListBullet"/>
      </w:pPr>
      <w:r>
        <w:t>Skip 7 (contingent on repeat-scan data availability)</w:t>
      </w:r>
    </w:p>
    <w:p>
      <w:pPr>
        <w:pStyle w:val="ListBullet"/>
      </w:pPr>
      <w:r>
        <w:t>Skip 9 (moderate value, high compute)</w:t>
      </w:r>
    </w:p>
    <w:p>
      <w:pPr>
        <w:pStyle w:val="ListBullet"/>
      </w:pPr>
      <w:r>
        <w:t>Skip 13 (scope-expanding — 12 arms may exceed cohort processing capacity)</w:t>
      </w:r>
    </w:p>
    <w:p>
      <w:r>
        <w:t xml:space="preserve">Distance from LeAPP: </w:t>
      </w:r>
      <w:r>
        <w:rPr>
          <w:b/>
        </w:rPr>
        <w:t>substantial</w:t>
      </w:r>
      <w:r>
        <w:t xml:space="preserve">. Landing zone: NeuroImage main submission (not just stretch); potential </w:t>
      </w:r>
      <w:r>
        <w:rPr>
          <w:i/>
        </w:rPr>
        <w:t>Human Brain Mapping</w:t>
      </w:r>
      <w:r>
        <w:t xml:space="preserve"> editorial preview / recommendation.</w:t>
      </w:r>
    </w:p>
    <w:p>
      <w:pPr>
        <w:pStyle w:val="Heading3"/>
      </w:pPr>
      <w:r>
        <w:t>Maximum package (all Tier 0 + all Tier 1 + all Tier 2)</w:t>
      </w:r>
    </w:p>
    <w:p>
      <w:r>
        <w:t xml:space="preserve">Add items 1–13. Distance from LeAPP: </w:t>
      </w:r>
      <w:r>
        <w:rPr>
          <w:b/>
        </w:rPr>
        <w:t>large</w:t>
      </w:r>
      <w:r>
        <w:t xml:space="preserve">. Landing zone: NeuroImage main + potential </w:t>
      </w:r>
      <w:r>
        <w:rPr>
          <w:i/>
        </w:rPr>
        <w:t>Brain</w:t>
      </w:r>
      <w:r>
        <w:t xml:space="preserve"> or </w:t>
      </w:r>
      <w:r>
        <w:rPr>
          <w:i/>
        </w:rPr>
        <w:t>Nature Human Behaviour</w:t>
      </w:r>
      <w:r>
        <w:t xml:space="preserve"> consideration if biology insights emerge (unlikely for a pure methods paper).</w:t>
      </w:r>
    </w:p>
    <w:p>
      <w:r>
        <w:t>Effort estimate: 3–5 months of additional analysis / compute beyond the minimal-package Paper 1 timeline.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Priority-ordered highest-marginal-value picks</w:t>
      </w:r>
    </w:p>
    <w:p>
      <w:r>
        <w:t xml:space="preserve">If you can add only one item beyond Tier 0: </w:t>
      </w:r>
      <w:r>
        <w:rPr>
          <w:b/>
        </w:rPr>
        <w:t>#8 (decision-tree recommendation)</w:t>
      </w:r>
      <w:r>
        <w:t xml:space="preserve"> — shifts the paper's function from methods characterization to actionable practice guidance.</w:t>
      </w:r>
    </w:p>
    <w:p>
      <w:r>
        <w:t xml:space="preserve">If two: </w:t>
      </w:r>
      <w:r>
        <w:rPr>
          <w:b/>
        </w:rPr>
        <w:t>#8 + #6 (cross-parcellation robustness)</w:t>
      </w:r>
      <w:r>
        <w:t xml:space="preserve"> — adds actionability + preempts the most common reviewer question.</w:t>
      </w:r>
    </w:p>
    <w:p>
      <w:r>
        <w:t xml:space="preserve">If three: </w:t>
      </w:r>
      <w:r>
        <w:rPr>
          <w:b/>
        </w:rPr>
        <w:t>#8 + #6 + #5 (edge uncertainty)</w:t>
      </w:r>
      <w:r>
        <w:t xml:space="preserve"> — genuinely rewrites the story from "we ran LeAPP on TBI" to "we made LeAPP's outputs quantitatively defensible and actionable in TBI."</w:t>
      </w:r>
    </w:p>
    <w:p>
      <w:r>
        <w:t xml:space="preserve">If four: </w:t>
      </w:r>
      <w:r>
        <w:rPr>
          <w:b/>
        </w:rPr>
        <w:t>#8 + #6 + #5 + #12 (preregistration)</w:t>
      </w:r>
      <w:r>
        <w:t xml:space="preserve"> — one-day rigor signal on top of the three substantive additions.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Decision framework</w:t>
      </w:r>
    </w:p>
    <w:p>
      <w:r>
        <w:t>For each candidate addition, ask three questions:</w:t>
      </w:r>
    </w:p>
    <w:p>
      <w:pPr>
        <w:pStyle w:val="ListNumber"/>
      </w:pPr>
      <w:r>
        <w:rPr>
          <w:b/>
        </w:rPr>
        <w:t>Does it produce something LeAPP structurally could not?</w:t>
      </w:r>
      <w:r>
        <w:t xml:space="preserve"> (e.g. bilateral handling, uncertainty per edge, decision tree)</w:t>
      </w:r>
    </w:p>
    <w:p>
      <w:pPr>
        <w:pStyle w:val="ListNumber"/>
      </w:pPr>
      <w:r>
        <w:rPr>
          <w:b/>
        </w:rPr>
        <w:t>Does it require data we don't have?</w:t>
      </w:r>
      <w:r>
        <w:t xml:space="preserve"> (e.g. test-retest scans, auto-segmentation, multi-shell)</w:t>
      </w:r>
    </w:p>
    <w:p>
      <w:pPr>
        <w:pStyle w:val="ListNumber"/>
      </w:pPr>
      <w:r>
        <w:rPr>
          <w:b/>
        </w:rPr>
        <w:t>Does it cannibalize another paper's contribution?</w:t>
      </w:r>
      <w:r>
        <w:t xml:space="preserve"> (e.g. LQT cross-check → Paper 2; full FC → Paper 2)</w:t>
      </w:r>
    </w:p>
    <w:p>
      <w:r>
        <w:t>Add if 1 = yes, 2 = no, 3 = no. Skip otherwise.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Reviewer-defense value</w:t>
      </w:r>
    </w:p>
    <w:p>
      <w:r>
        <w:t>Each addition provides a specific answer to a specific anticipated critique: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Anticipated critique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Which addition answers it</w:t>
            </w:r>
          </w:p>
        </w:tc>
      </w:tr>
      <w:tr>
        <w:tc>
          <w:tcPr>
            <w:tcW w:type="dxa" w:w="4824"/>
          </w:tcPr>
          <w:p>
            <w:r/>
            <w:r>
              <w:t>"How does this differ from LeAPP?"</w:t>
            </w:r>
          </w:p>
        </w:tc>
        <w:tc>
          <w:tcPr>
            <w:tcW w:type="dxa" w:w="4824"/>
          </w:tcPr>
          <w:p>
            <w:r/>
            <w:r>
              <w:t>Tier 0 items 1–4; item 5</w:t>
            </w:r>
          </w:p>
        </w:tc>
      </w:tr>
      <w:tr>
        <w:tc>
          <w:tcPr>
            <w:tcW w:type="dxa" w:w="4824"/>
          </w:tcPr>
          <w:p>
            <w:r/>
            <w:r>
              <w:t>"Why should I trust these connectomes as ground truth?"</w:t>
            </w:r>
          </w:p>
        </w:tc>
        <w:tc>
          <w:tcPr>
            <w:tcW w:type="dxa" w:w="4824"/>
          </w:tcPr>
          <w:p>
            <w:r/>
            <w:r>
              <w:t>Item 5 (uncertainty), item 7 (test-retest)</w:t>
            </w:r>
          </w:p>
        </w:tc>
      </w:tr>
      <w:tr>
        <w:tc>
          <w:tcPr>
            <w:tcW w:type="dxa" w:w="4824"/>
          </w:tcPr>
          <w:p>
            <w:r/>
            <w:r>
              <w:t>"What if you'd used Schaefer / another atlas?"</w:t>
            </w:r>
          </w:p>
        </w:tc>
        <w:tc>
          <w:tcPr>
            <w:tcW w:type="dxa" w:w="4824"/>
          </w:tcPr>
          <w:p>
            <w:r/>
            <w:r>
              <w:t>Item 6 (cross-parcellation)</w:t>
            </w:r>
          </w:p>
        </w:tc>
      </w:tr>
      <w:tr>
        <w:tc>
          <w:tcPr>
            <w:tcW w:type="dxa" w:w="4824"/>
          </w:tcPr>
          <w:p>
            <w:r/>
            <w:r>
              <w:t>"How should a clinician actually use these results?"</w:t>
            </w:r>
          </w:p>
        </w:tc>
        <w:tc>
          <w:tcPr>
            <w:tcW w:type="dxa" w:w="4824"/>
          </w:tcPr>
          <w:p>
            <w:r/>
            <w:r>
              <w:t>Item 8 (decision tree)</w:t>
            </w:r>
          </w:p>
        </w:tc>
      </w:tr>
      <w:tr>
        <w:tc>
          <w:tcPr>
            <w:tcW w:type="dxa" w:w="4824"/>
          </w:tcPr>
          <w:p>
            <w:r/>
            <w:r>
              <w:t>"Does this only work with clinician-traced masks?"</w:t>
            </w:r>
          </w:p>
        </w:tc>
        <w:tc>
          <w:tcPr>
            <w:tcW w:type="dxa" w:w="4824"/>
          </w:tcPr>
          <w:p>
            <w:r/>
            <w:r>
              <w:t>Item 9 (auto-seg comparison)</w:t>
            </w:r>
          </w:p>
        </w:tc>
      </w:tr>
      <w:tr>
        <w:tc>
          <w:tcPr>
            <w:tcW w:type="dxa" w:w="4824"/>
          </w:tcPr>
          <w:p>
            <w:r/>
            <w:r>
              <w:t>"Are the effects robust to edge measure choice?"</w:t>
            </w:r>
          </w:p>
        </w:tc>
        <w:tc>
          <w:tcPr>
            <w:tcW w:type="dxa" w:w="4824"/>
          </w:tcPr>
          <w:p>
            <w:r/>
            <w:r>
              <w:t>Item 10 (multi-measure)</w:t>
            </w:r>
          </w:p>
        </w:tc>
      </w:tr>
      <w:tr>
        <w:tc>
          <w:tcPr>
            <w:tcW w:type="dxa" w:w="4824"/>
          </w:tcPr>
          <w:p>
            <w:r/>
            <w:r>
              <w:t>"Does this survive multi-site heterogeneity?"</w:t>
            </w:r>
          </w:p>
        </w:tc>
        <w:tc>
          <w:tcPr>
            <w:tcW w:type="dxa" w:w="4824"/>
          </w:tcPr>
          <w:p>
            <w:r/>
            <w:r>
              <w:t>Item 11 (harmonization)</w:t>
            </w:r>
          </w:p>
        </w:tc>
      </w:tr>
      <w:tr>
        <w:tc>
          <w:tcPr>
            <w:tcW w:type="dxa" w:w="4824"/>
          </w:tcPr>
          <w:p>
            <w:r/>
            <w:r>
              <w:t>"Was this p-hacked?"</w:t>
            </w:r>
          </w:p>
        </w:tc>
        <w:tc>
          <w:tcPr>
            <w:tcW w:type="dxa" w:w="4824"/>
          </w:tcPr>
          <w:p>
            <w:r/>
            <w:r>
              <w:t>Item 12 (preregistration)</w:t>
            </w:r>
          </w:p>
        </w:tc>
      </w:tr>
      <w:tr>
        <w:tc>
          <w:tcPr>
            <w:tcW w:type="dxa" w:w="4824"/>
          </w:tcPr>
          <w:p>
            <w:r/>
            <w:r>
              <w:t>"Why not test Deep Atropos as a first-class arm?"</w:t>
            </w:r>
          </w:p>
        </w:tc>
        <w:tc>
          <w:tcPr>
            <w:tcW w:type="dxa" w:w="4824"/>
          </w:tcPr>
          <w:p>
            <w:r/>
            <w:r>
              <w:t>Item 13 (3×2×2 factorial)</w:t>
            </w:r>
          </w:p>
        </w:tc>
      </w:tr>
    </w:tbl>
    <w:p/>
    <w:p>
      <w:r>
        <w:t>Missing an answer for any critique = potential reject-and-resubmit request from a rigorous reviewer.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See also</w:t>
      </w:r>
    </w:p>
    <w:p>
      <w:pPr>
        <w:pStyle w:val="ListBullet"/>
      </w:pPr>
      <w:r>
        <w:rPr>
          <w:color w:val="1F4E79"/>
          <w:u w:val="single"/>
        </w:rPr>
        <w:t>`index.md`</w:t>
      </w:r>
      <w:r>
        <w:t xml:space="preserve"> — cover doc, cross-tier paper matrix, contribution summary</w:t>
      </w:r>
    </w:p>
    <w:p>
      <w:pPr>
        <w:pStyle w:val="ListBullet"/>
      </w:pPr>
      <w:r>
        <w:rPr>
          <w:color w:val="1F4E79"/>
          <w:u w:val="single"/>
        </w:rPr>
        <w:t>`leapp_lineage.md`</w:t>
      </w:r>
      <w:r>
        <w:t xml:space="preserve"> — Bey 2024 deep summary + what our paper adopts vs differentiates</w:t>
      </w:r>
    </w:p>
    <w:p>
      <w:pPr>
        <w:pStyle w:val="ListBullet"/>
      </w:pPr>
      <w:r>
        <w:rPr>
          <w:color w:val="1F4E79"/>
          <w:u w:val="single"/>
        </w:rPr>
        <w:t>`neuroimage_prerequisites.md`</w:t>
      </w:r>
      <w:r>
        <w:t xml:space="preserve"> — the three gating items for NeuroImage-tier submission</w:t>
      </w:r>
    </w:p>
    <w:p>
      <w:pPr>
        <w:pStyle w:val="ListBullet"/>
      </w:pPr>
      <w:r>
        <w:rPr>
          <w:color w:val="1F4E79"/>
          <w:u w:val="single"/>
        </w:rPr>
        <w:t>`analysis_plan.md`</w:t>
      </w:r>
      <w:r>
        <w:t xml:space="preserve"> — pre-registration template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