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analysis plan (pre-registration template)</w:t>
      </w:r>
    </w:p>
    <w:p>
      <w:r>
        <w:rPr>
          <w:b/>
        </w:rPr>
        <w:t>Purpose:</w:t>
      </w:r>
      <w:r>
        <w:t xml:space="preserve"> locked design decisions for the factorial paper (Paper 1). Fill in and sign off </w:t>
      </w:r>
      <w:r>
        <w:rPr>
          <w:i/>
        </w:rPr>
        <w:t>before</w:t>
      </w:r>
      <w:r>
        <w:t xml:space="preserve"> opening group-level results. Serves as an internal pre-registration so post-hoc contrast-shopping / metric-shopping cannot be mistaken for a priori strategy.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manuscript_skeleton.md</w:t>
      </w:r>
      <w:r>
        <w:t xml:space="preserve"> · </w:t>
      </w:r>
      <w:r>
        <w:rPr>
          <w:color w:val="1F4E79"/>
          <w:u w:val="single"/>
        </w:rPr>
        <w:t>../../TBI_Experimental_Arms.md</w:t>
      </w:r>
    </w:p>
    <w:p>
      <w:r>
        <w:rPr>
          <w:b/>
        </w:rPr>
        <w:t>Status:</w:t>
      </w:r>
      <w:r>
        <w:t xml:space="preserve"> DRAFT — not yet signed off.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Sign-off block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PI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Analyst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Second analyst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</w:tbl>
    <w:p/>
    <w:p>
      <w:r>
        <w:rPr>
          <w:b/>
        </w:rPr>
        <w:t>Amendments</w:t>
      </w:r>
      <w:r>
        <w:t xml:space="preserve"> (append entries below sign-off; document reason for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Six arms (locked from pipeline design)</w:t>
      </w:r>
    </w:p>
    <w:p>
      <w:r>
        <w:t xml:space="preserve">Per </w:t>
      </w:r>
      <w:r>
        <w:rPr>
          <w:color w:val="1F4E79"/>
          <w:u w:val="single"/>
        </w:rPr>
        <w:t>../../TBI_Experimental_Arms.md</w:t>
      </w:r>
      <w:r>
        <w:t>, the factorial arms are fixed: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Arm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Anatomy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ACT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--experiment-arm</w:t>
            </w:r>
            <w:r>
              <w:rPr>
                <w:b/>
              </w:rPr>
              <w:t xml:space="preserve"> preset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orig-std</w:t>
            </w:r>
          </w:p>
        </w:tc>
        <w:tc>
          <w:tcPr>
            <w:tcW w:type="dxa" w:w="2412"/>
          </w:tcPr>
          <w:p>
            <w:r/>
            <w:r>
              <w:t>Original T1w</w:t>
            </w:r>
          </w:p>
        </w:tc>
        <w:tc>
          <w:tcPr>
            <w:tcW w:type="dxa" w:w="2412"/>
          </w:tcPr>
          <w:p>
            <w:r/>
            <w:r>
              <w:t>Standard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orig-std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orig-lesion</w:t>
            </w:r>
          </w:p>
        </w:tc>
        <w:tc>
          <w:tcPr>
            <w:tcW w:type="dxa" w:w="2412"/>
          </w:tcPr>
          <w:p>
            <w:r/>
            <w:r>
              <w:t>Original T1w</w:t>
            </w:r>
          </w:p>
        </w:tc>
        <w:tc>
          <w:tcPr>
            <w:tcW w:type="dxa" w:w="2412"/>
          </w:tcPr>
          <w:p>
            <w:r/>
            <w:r>
              <w:t>Lesion-aware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orig-lesion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neurolit-std</w:t>
            </w:r>
          </w:p>
        </w:tc>
        <w:tc>
          <w:tcPr>
            <w:tcW w:type="dxa" w:w="2412"/>
          </w:tcPr>
          <w:p>
            <w:r/>
            <w:r>
              <w:t>neuroLIT</w:t>
            </w:r>
          </w:p>
        </w:tc>
        <w:tc>
          <w:tcPr>
            <w:tcW w:type="dxa" w:w="2412"/>
          </w:tcPr>
          <w:p>
            <w:r/>
            <w:r>
              <w:t>Standard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neurolit-std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neurolit-lesion</w:t>
            </w:r>
          </w:p>
        </w:tc>
        <w:tc>
          <w:tcPr>
            <w:tcW w:type="dxa" w:w="2412"/>
          </w:tcPr>
          <w:p>
            <w:r/>
            <w:r>
              <w:t>neuroLIT</w:t>
            </w:r>
          </w:p>
        </w:tc>
        <w:tc>
          <w:tcPr>
            <w:tcW w:type="dxa" w:w="2412"/>
          </w:tcPr>
          <w:p>
            <w:r/>
            <w:r>
              <w:t>Lesion-aware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neurolit-lesion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vbt-std</w:t>
            </w:r>
          </w:p>
        </w:tc>
        <w:tc>
          <w:tcPr>
            <w:tcW w:type="dxa" w:w="2412"/>
          </w:tcPr>
          <w:p>
            <w:r/>
            <w:r>
              <w:t>VBT</w:t>
            </w:r>
          </w:p>
        </w:tc>
        <w:tc>
          <w:tcPr>
            <w:tcW w:type="dxa" w:w="2412"/>
          </w:tcPr>
          <w:p>
            <w:r/>
            <w:r>
              <w:t>Standard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vbt-std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vbt-lesion</w:t>
            </w:r>
          </w:p>
        </w:tc>
        <w:tc>
          <w:tcPr>
            <w:tcW w:type="dxa" w:w="2412"/>
          </w:tcPr>
          <w:p>
            <w:r/>
            <w:r>
              <w:t>VBT</w:t>
            </w:r>
          </w:p>
        </w:tc>
        <w:tc>
          <w:tcPr>
            <w:tcW w:type="dxa" w:w="2412"/>
          </w:tcPr>
          <w:p>
            <w:r/>
            <w:r>
              <w:t>Lesion-aware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vbt-lesion</w:t>
            </w:r>
          </w:p>
        </w:tc>
      </w:tr>
    </w:tbl>
    <w:p/>
    <w:p>
      <w:r>
        <w:t xml:space="preserve">Seventh sensitivity arm </w:t>
      </w:r>
      <w:r>
        <w:rPr>
          <w:rFonts w:ascii="Consolas" w:hAnsi="Consolas"/>
          <w:sz w:val="20"/>
        </w:rPr>
        <w:t>deep-atropos-pilot</w:t>
      </w:r>
      <w:r>
        <w:t xml:space="preserve"> runs on pilot only (Paper 3 supplement material).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Primary numeric outcome</w:t>
      </w:r>
    </w:p>
    <w:p>
      <w:pPr>
        <w:pStyle w:val="ListBullet"/>
      </w:pPr>
      <w:r>
        <w:rPr>
          <w:b/>
        </w:rPr>
        <w:t>Default choice:</w:t>
      </w:r>
      <w:r>
        <w:t xml:space="preserve"> mean absolute edge difference on the upper triangle of the DKT connectome, per subject-arm-pair</w:t>
      </w:r>
    </w:p>
    <w:p>
      <w:pPr>
        <w:pStyle w:val="ListBullet"/>
      </w:pPr>
      <w:r>
        <w:rPr>
          <w:b/>
        </w:rPr>
        <w:t>Alternative under consideration:</w:t>
      </w:r>
      <w:r>
        <w:t xml:space="preserve"> global Pearson correlation between paired arms per subject</w:t>
      </w:r>
    </w:p>
    <w:p>
      <w:pPr>
        <w:pStyle w:val="ListBullet"/>
      </w:pPr>
      <w:r>
        <w:rPr>
          <w:b/>
        </w:rPr>
        <w:t>Alternative under consideration:</w:t>
      </w:r>
      <w:r>
        <w:t xml:space="preserve"> first principal component of the connectome delta</w:t>
      </w:r>
    </w:p>
    <w:p>
      <w:pPr>
        <w:pStyle w:val="ListBullet"/>
      </w:pPr>
      <w:r>
        <w:rPr>
          <w:b/>
        </w:rPr>
        <w:t>Locked choice: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Primary parcellation</w:t>
      </w:r>
    </w:p>
    <w:p>
      <w:pPr>
        <w:pStyle w:val="ListBullet"/>
      </w:pPr>
      <w:r>
        <w:rPr>
          <w:b/>
        </w:rPr>
        <w:t>Default choice:</w:t>
      </w:r>
      <w:r>
        <w:t xml:space="preserve"> DKT (78 regions), SIFT2-weighted, from </w:t>
      </w:r>
      <w:r>
        <w:rPr>
          <w:rFonts w:ascii="Consolas" w:hAnsi="Consolas"/>
          <w:sz w:val="20"/>
        </w:rPr>
        <w:t>dkt_connectome.csv</w:t>
      </w:r>
    </w:p>
    <w:p>
      <w:pPr>
        <w:pStyle w:val="ListBullet"/>
      </w:pPr>
      <w:r>
        <w:rPr>
          <w:b/>
        </w:rPr>
        <w:t>Sensitivity parcellation:</w:t>
      </w:r>
      <w:r>
        <w:t xml:space="preserve"> Schaefer 200 (already supported by QSIRecon) — reported in supplement</w:t>
      </w:r>
    </w:p>
    <w:p>
      <w:pPr>
        <w:pStyle w:val="ListBullet"/>
      </w:pPr>
      <w:r>
        <w:rPr>
          <w:b/>
        </w:rPr>
        <w:t>Locked choice: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Pre-specified contrasts (locked)</w:t>
      </w:r>
    </w:p>
    <w:p>
      <w:r>
        <w:t xml:space="preserve">Per </w:t>
      </w:r>
      <w:r>
        <w:rPr>
          <w:color w:val="1F4E79"/>
          <w:u w:val="single"/>
        </w:rPr>
        <w:t>../../TBI_Experimental_Arms.md § Pre-specified contrasts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Level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Contrast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</w:tr>
      <w:tr>
        <w:tc>
          <w:tcPr>
            <w:tcW w:type="dxa" w:w="3216"/>
          </w:tcPr>
          <w:p>
            <w:r/>
            <w:r>
              <w:t>Primary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*-std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*-lesion</w:t>
            </w:r>
            <w:r>
              <w:t xml:space="preserve"> within each anatomy</w:t>
            </w:r>
          </w:p>
        </w:tc>
        <w:tc>
          <w:tcPr>
            <w:tcW w:type="dxa" w:w="3216"/>
          </w:tcPr>
          <w:p>
            <w:r/>
            <w:r>
              <w:t>Does pathology ACT change connectomes?</w:t>
            </w:r>
          </w:p>
        </w:tc>
      </w:tr>
      <w:tr>
        <w:tc>
          <w:tcPr>
            <w:tcW w:type="dxa" w:w="3216"/>
          </w:tcPr>
          <w:p>
            <w:r/>
            <w:r>
              <w:t>Secondary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orig-*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neurolit-*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vbt-*</w:t>
            </w:r>
            <w:r>
              <w:t xml:space="preserve"> within std / lesion</w:t>
            </w:r>
          </w:p>
        </w:tc>
        <w:tc>
          <w:tcPr>
            <w:tcW w:type="dxa" w:w="3216"/>
          </w:tcPr>
          <w:p>
            <w:r/>
            <w:r>
              <w:t>How much does inpainting matter?</w:t>
            </w:r>
          </w:p>
        </w:tc>
      </w:tr>
      <w:tr>
        <w:tc>
          <w:tcPr>
            <w:tcW w:type="dxa" w:w="3216"/>
          </w:tcPr>
          <w:p>
            <w:r/>
            <w:r>
              <w:t>Interaction</w:t>
            </w:r>
          </w:p>
        </w:tc>
        <w:tc>
          <w:tcPr>
            <w:tcW w:type="dxa" w:w="3216"/>
          </w:tcPr>
          <w:p>
            <w:r/>
            <w:r>
              <w:t>Anatomy × ACT</w:t>
            </w:r>
          </w:p>
        </w:tc>
        <w:tc>
          <w:tcPr>
            <w:tcW w:type="dxa" w:w="3216"/>
          </w:tcPr>
          <w:p>
            <w:r/>
            <w:r>
              <w:t>Is ACT benefit larger after inpainting?</w:t>
            </w:r>
          </w:p>
        </w:tc>
      </w:tr>
    </w:tbl>
    <w:p/>
    <w:p>
      <w:r>
        <w:rPr>
          <w:b/>
        </w:rPr>
        <w:t>Locked:</w:t>
      </w:r>
      <w:r>
        <w:t xml:space="preserve"> these three contrasts. No post-hoc addition of contrasts without amendment.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Statistical framework</w:t>
      </w:r>
    </w:p>
    <w:p>
      <w:pPr>
        <w:pStyle w:val="ListBullet"/>
      </w:pPr>
      <w:r>
        <w:rPr>
          <w:b/>
        </w:rPr>
        <w:t>Within-subject paired comparisons:</w:t>
      </w:r>
      <w:r>
        <w:t xml:space="preserve"> paired Wilcoxon signed-rank test or paired t-test (choose one; decision below)</w:t>
      </w:r>
    </w:p>
    <w:p>
      <w:pPr>
        <w:pStyle w:val="ListBullet"/>
      </w:pPr>
      <w:r>
        <w:rPr>
          <w:b/>
        </w:rPr>
        <w:t>Cross-arm distribution comparison:</w:t>
      </w:r>
      <w:r>
        <w:t xml:space="preserve"> Friedman test across three anatomy backends, followed by pairwise post-hoc</w:t>
      </w:r>
    </w:p>
    <w:p>
      <w:pPr>
        <w:pStyle w:val="ListBullet"/>
      </w:pPr>
      <w:r>
        <w:rPr>
          <w:b/>
        </w:rPr>
        <w:t>Interaction test:</w:t>
      </w:r>
      <w:r>
        <w:t xml:space="preserve"> repeated-measures 2×3 ANOVA on the primary numeric outcome</w:t>
      </w:r>
    </w:p>
    <w:p>
      <w:pPr>
        <w:pStyle w:val="ListBullet"/>
      </w:pPr>
      <w:r>
        <w:rPr>
          <w:b/>
        </w:rPr>
        <w:t>Multiple-comparison correction:</w:t>
      </w:r>
      <w:r>
        <w:t xml:space="preserve"> Bonferroni across the three primary contrasts (or FDR — decision below)</w:t>
      </w:r>
    </w:p>
    <w:p>
      <w:r>
        <w:rPr>
          <w:b/>
        </w:rPr>
        <w:t>Locked choices:</w:t>
      </w:r>
    </w:p>
    <w:p>
      <w:pPr>
        <w:pStyle w:val="ListBullet"/>
      </w:pPr>
      <w:r>
        <w:t>Within-subject test: ______</w:t>
      </w:r>
    </w:p>
    <w:p>
      <w:pPr>
        <w:pStyle w:val="ListBullet"/>
      </w:pPr>
      <w:r>
        <w:t>Multiple-comparison correction: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Completion-threshold N per arm</w:t>
      </w:r>
    </w:p>
    <w:p>
      <w:pPr>
        <w:pStyle w:val="ListBullet"/>
      </w:pPr>
      <w:r>
        <w:rPr>
          <w:b/>
        </w:rPr>
        <w:t>Default rule:</w:t>
      </w:r>
      <w:r>
        <w:t xml:space="preserve"> proceed with group analysis only when each arm has N ≥ 40 subjects with clean end-to-end processing</w:t>
      </w:r>
    </w:p>
    <w:p>
      <w:pPr>
        <w:pStyle w:val="ListBullet"/>
      </w:pPr>
      <w:r>
        <w:rPr>
          <w:b/>
        </w:rPr>
        <w:t>Fallback:</w:t>
      </w:r>
      <w:r>
        <w:t xml:space="preserve"> if any arm drops below N=40, report as failure-mode analysis with per-arm success rate rather than pool</w:t>
      </w:r>
    </w:p>
    <w:p>
      <w:pPr>
        <w:pStyle w:val="ListBullet"/>
      </w:pPr>
      <w:r>
        <w:rPr>
          <w:b/>
        </w:rPr>
        <w:t>Locked N threshold: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QC pass criteria per subject-arm</w:t>
      </w:r>
    </w:p>
    <w:p>
      <w:r>
        <w:t>Locked criteria before opening group results. A subject is "clean" for a given arm if all of: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qsiprep.done</w:t>
      </w:r>
      <w:r>
        <w:t xml:space="preserve"> marker present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qsirecon.done</w:t>
      </w:r>
      <w:r>
        <w:t xml:space="preserve"> marker present (or </w:t>
      </w:r>
      <w:r>
        <w:rPr>
          <w:rFonts w:ascii="Consolas" w:hAnsi="Consolas"/>
          <w:sz w:val="20"/>
        </w:rPr>
        <w:t>lesion_aware_act.done</w:t>
      </w:r>
      <w:r>
        <w:t xml:space="preserve"> for </w:t>
      </w:r>
      <w:r>
        <w:rPr>
          <w:rFonts w:ascii="Consolas" w:hAnsi="Consolas"/>
          <w:sz w:val="20"/>
        </w:rPr>
        <w:t>*-lesion</w:t>
      </w:r>
      <w:r>
        <w:t xml:space="preserve"> arms)</w:t>
      </w:r>
    </w:p>
    <w:p>
      <w:pPr>
        <w:pStyle w:val="ListBullet"/>
      </w:pPr>
      <w:r>
        <w:t>[ ] Connectome CSV present with 78×78 shape</w:t>
      </w:r>
    </w:p>
    <w:p>
      <w:pPr>
        <w:pStyle w:val="ListBullet"/>
      </w:pPr>
      <w:r>
        <w:t>[ ] Empty-node fraction ≤ [threshold — default 5%]</w:t>
      </w:r>
    </w:p>
    <w:p>
      <w:pPr>
        <w:pStyle w:val="ListBullet"/>
      </w:pPr>
      <w:r>
        <w:t>[ ] SIFT2 mu &gt; 0 and &lt; [reasonable upper bound]</w:t>
      </w:r>
    </w:p>
    <w:p>
      <w:pPr>
        <w:pStyle w:val="ListBullet"/>
      </w:pPr>
      <w:r>
        <w:t xml:space="preserve">[ ] For </w:t>
      </w:r>
      <w:r>
        <w:rPr>
          <w:rFonts w:ascii="Consolas" w:hAnsi="Consolas"/>
          <w:sz w:val="20"/>
        </w:rPr>
        <w:t>*-lesion</w:t>
      </w:r>
      <w:r>
        <w:t xml:space="preserve"> arms: lesion warp method (ACPC or MNI) recorded in </w:t>
      </w:r>
      <w:r>
        <w:rPr>
          <w:rFonts w:ascii="Consolas" w:hAnsi="Consolas"/>
          <w:sz w:val="20"/>
        </w:rPr>
        <w:t>lesion_aware_act.json</w:t>
      </w:r>
      <w:r>
        <w:t>; pathology QA pass</w:t>
      </w:r>
    </w:p>
    <w:p>
      <w:r>
        <w:rPr>
          <w:b/>
        </w:rPr>
        <w:t>Locked QC gate: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Handling failed arms per subject</w:t>
      </w:r>
    </w:p>
    <w:p>
      <w:r>
        <w:t>If a subject completes some but not all six arms:</w:t>
      </w:r>
    </w:p>
    <w:p>
      <w:pPr>
        <w:pStyle w:val="ListBullet"/>
      </w:pPr>
      <w:r>
        <w:rPr>
          <w:b/>
        </w:rPr>
        <w:t>Default rule:</w:t>
      </w:r>
      <w:r>
        <w:t xml:space="preserve"> include in the arms where they succeeded; report a "completion matrix" showing subject × arm success</w:t>
      </w:r>
    </w:p>
    <w:p>
      <w:pPr>
        <w:pStyle w:val="ListBullet"/>
      </w:pPr>
      <w:r>
        <w:rPr>
          <w:b/>
        </w:rPr>
        <w:t>Alternative rule:</w:t>
      </w:r>
      <w:r>
        <w:t xml:space="preserve"> require all six arms to be complete for a subject to be included in any group analysis</w:t>
      </w:r>
    </w:p>
    <w:p>
      <w:pPr>
        <w:pStyle w:val="ListBullet"/>
      </w:pPr>
      <w:r>
        <w:rPr>
          <w:b/>
        </w:rPr>
        <w:t>Locked rule: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Synthetic-lesion validation (Tier B)</w:t>
      </w:r>
    </w:p>
    <w:p>
      <w:r>
        <w:t>Determines whether Paper 1 aims at HBM (default) or NeuroImage (stretch).</w:t>
      </w:r>
    </w:p>
    <w:p>
      <w:pPr>
        <w:pStyle w:val="ListBullet"/>
      </w:pPr>
      <w:r>
        <w:rPr>
          <w:b/>
        </w:rPr>
        <w:t>Include:</w:t>
      </w:r>
      <w:r>
        <w:t xml:space="preserve"> run synthetic lesions on CIDUR controls (N=~26) with the full six-arm factorial + measure recovery of expected connectivity loss</w:t>
      </w:r>
    </w:p>
    <w:p>
      <w:pPr>
        <w:pStyle w:val="ListBullet"/>
      </w:pPr>
      <w:r>
        <w:rPr>
          <w:b/>
        </w:rPr>
        <w:t>Not include:</w:t>
      </w:r>
      <w:r>
        <w:t xml:space="preserve"> submit at HBM default without this validation</w:t>
      </w:r>
    </w:p>
    <w:p>
      <w:pPr>
        <w:pStyle w:val="ListBullet"/>
      </w:pPr>
      <w:r>
        <w:rPr>
          <w:b/>
        </w:rPr>
        <w:t>Locked decision: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Deep Atropos sensitivity figure (in-supplement)</w:t>
      </w:r>
    </w:p>
    <w:p>
      <w:r>
        <w:t>Per publication strategy, Deep Atropos vs HSVS is a Paper 1 supplement, not Paper 3 standalone.</w:t>
      </w:r>
    </w:p>
    <w:p>
      <w:pPr>
        <w:pStyle w:val="ListBullet"/>
      </w:pPr>
      <w:r>
        <w:rPr>
          <w:b/>
        </w:rPr>
        <w:t>Include:</w:t>
      </w:r>
      <w:r>
        <w:t xml:space="preserve"> run </w:t>
      </w:r>
      <w:r>
        <w:rPr>
          <w:rFonts w:ascii="Consolas" w:hAnsi="Consolas"/>
          <w:sz w:val="20"/>
        </w:rPr>
        <w:t>deep-atropos-pilot</w:t>
      </w:r>
      <w:r>
        <w:t xml:space="preserve"> on cohort subset (N ≥ 30 if feasible) as one supplementary figure</w:t>
      </w:r>
    </w:p>
    <w:p>
      <w:pPr>
        <w:pStyle w:val="ListBullet"/>
      </w:pPr>
      <w:r>
        <w:rPr>
          <w:b/>
        </w:rPr>
        <w:t>Alternative:</w:t>
      </w:r>
      <w:r>
        <w:t xml:space="preserve"> run on pilot only (</w:t>
      </w:r>
      <w:r>
        <w:rPr>
          <w:rFonts w:ascii="Consolas" w:hAnsi="Consolas"/>
          <w:sz w:val="20"/>
        </w:rPr>
        <w:t>sub-TBI011011</w:t>
      </w:r>
      <w:r>
        <w:t>) as illustrative sensitivity — cheaper</w:t>
      </w:r>
    </w:p>
    <w:p>
      <w:pPr>
        <w:pStyle w:val="ListBullet"/>
      </w:pPr>
      <w:r>
        <w:rPr>
          <w:b/>
        </w:rPr>
        <w:t>Locked decision: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Timeline</w:t>
      </w:r>
    </w:p>
    <w:p>
      <w:pPr>
        <w:pStyle w:val="ListBullet"/>
      </w:pPr>
      <w:r>
        <w:t>Analysis plan sign-off by: ______</w:t>
      </w:r>
    </w:p>
    <w:p>
      <w:pPr>
        <w:pStyle w:val="ListBullet"/>
      </w:pPr>
      <w:r>
        <w:t>Cohort processing complete: ______</w:t>
      </w:r>
    </w:p>
    <w:p>
      <w:pPr>
        <w:pStyle w:val="ListBullet"/>
      </w:pPr>
      <w:r>
        <w:t>QC-by-arm table complete: ______</w:t>
      </w:r>
    </w:p>
    <w:p>
      <w:pPr>
        <w:pStyle w:val="ListBullet"/>
      </w:pPr>
      <w:r>
        <w:t>Group results opened: ______ (</w:t>
      </w:r>
      <w:r>
        <w:rPr>
          <w:b/>
        </w:rPr>
        <w:t>this is the firewall</w:t>
      </w:r>
      <w:r>
        <w:t>)</w:t>
      </w:r>
    </w:p>
    <w:p>
      <w:pPr>
        <w:pStyle w:val="ListBullet"/>
      </w:pPr>
      <w:r>
        <w:t>Manuscript draft complete: ______</w:t>
      </w:r>
    </w:p>
    <w:p>
      <w:pPr>
        <w:pStyle w:val="ListBullet"/>
      </w:pPr>
      <w:r>
        <w:t>Coauthor rounds complete: ______</w:t>
      </w:r>
    </w:p>
    <w:p>
      <w:pPr>
        <w:pStyle w:val="ListBullet"/>
      </w:pPr>
      <w:r>
        <w:t>Submission: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What is NOT locked (allowed to change)</w:t>
      </w:r>
    </w:p>
    <w:p>
      <w:pPr>
        <w:pStyle w:val="ListBullet"/>
      </w:pPr>
      <w:r>
        <w:t>Figure design and specific plots (as long as they show the locked contrasts on the locked outcome)</w:t>
      </w:r>
    </w:p>
    <w:p>
      <w:pPr>
        <w:pStyle w:val="ListBullet"/>
      </w:pPr>
      <w:r>
        <w:t>Supplementary analyses and robustness checks</w:t>
      </w:r>
    </w:p>
    <w:p>
      <w:pPr>
        <w:pStyle w:val="ListBullet"/>
      </w:pPr>
      <w:r>
        <w:t>Introduction / discussion narrative choices</w:t>
      </w:r>
    </w:p>
    <w:p>
      <w:pPr>
        <w:pStyle w:val="ListBullet"/>
      </w:pPr>
      <w:r>
        <w:t>Software version updates (unless they change results)</w:t>
      </w:r>
    </w:p>
    <w:p>
      <w:pPr>
        <w:pStyle w:val="ListBullet"/>
      </w:pPr>
      <w:r>
        <w:t>Wording of the primary claim (as long as the underlying finding is unchanged)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What TRIGGERS an amendment</w:t>
      </w:r>
    </w:p>
    <w:p>
      <w:pPr>
        <w:pStyle w:val="ListBullet"/>
      </w:pPr>
      <w:r>
        <w:t>Any change to §§ 1–10 after sign-off requires a documented amendment with reason.</w:t>
      </w:r>
    </w:p>
    <w:p>
      <w:pPr>
        <w:pStyle w:val="ListBullet"/>
      </w:pPr>
      <w:r>
        <w:t>Any addition of a new "primary" analysis not on the original list requires demoting it to "exploratory" or opening the firewall (a red flag).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Reviewer defense value</w:t>
      </w:r>
    </w:p>
    <w:p>
      <w:r>
        <w:t>This pre-registration doc travels as supplement material or is referenced in Methods at submission. Purpose:</w:t>
      </w:r>
    </w:p>
    <w:p>
      <w:pPr>
        <w:pStyle w:val="ListBullet"/>
      </w:pPr>
      <w:r>
        <w:t>Demonstrates the analysis was pre-specified, not p-hacked</w:t>
      </w:r>
    </w:p>
    <w:p>
      <w:pPr>
        <w:pStyle w:val="ListBullet"/>
      </w:pPr>
      <w:r>
        <w:t>Anchors contrast choices to a rule, not to post-hoc pattern-finding</w:t>
      </w:r>
    </w:p>
    <w:p>
      <w:pPr>
        <w:pStyle w:val="ListBullet"/>
      </w:pPr>
      <w:r>
        <w:t>Documents amendments transparently if any occurred</w:t>
      </w:r>
    </w:p>
    <w:p>
      <w:pPr>
        <w:pStyle w:val="ListBullet"/>
      </w:pPr>
      <w:r>
        <w:t>Supports the "not gaming the factorial" claim expected by HBM/NeuroImage reviewers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