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Factorial paper — completion tracker</w:t>
      </w:r>
    </w:p>
    <w:p>
      <w:r>
        <w:rPr>
          <w:b/>
        </w:rPr>
        <w:t>Purpose:</w:t>
      </w:r>
      <w:r>
        <w:t xml:space="preserve"> per-subject × per-arm completion tracker for the factorial paper (Paper 1). Populate as cohort processing progresses. Determines cohort N per arm, which drives the group-analysis go/no-go per </w:t>
      </w:r>
      <w:r>
        <w:rPr>
          <w:color w:val="1F4E79"/>
          <w:u w:val="single"/>
        </w:rPr>
        <w:t>analysis_plan.md § 6</w:t>
      </w:r>
      <w:r>
        <w:t>.</w:t>
      </w:r>
    </w:p>
    <w:p>
      <w:r>
        <w:rPr>
          <w:b/>
        </w:rPr>
        <w:t>Related:</w:t>
      </w:r>
      <w:r>
        <w:t xml:space="preserve"> </w:t>
      </w:r>
      <w:r>
        <w:rPr>
          <w:color w:val="1F4E79"/>
          <w:u w:val="single"/>
        </w:rPr>
        <w:t>index.md</w:t>
      </w:r>
      <w:r>
        <w:t xml:space="preserve"> · </w:t>
      </w:r>
      <w:r>
        <w:rPr>
          <w:color w:val="1F4E79"/>
          <w:u w:val="single"/>
        </w:rPr>
        <w:t>analysis_plan.md</w:t>
      </w:r>
    </w:p>
    <w:p>
      <w:r>
        <w:rPr>
          <w:b/>
        </w:rPr>
        <w:t>Status:</w:t>
      </w:r>
      <w:r>
        <w:t xml:space="preserve"> template — populate as cohort scales.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Assembly diagram (CONSORT-style — to be filled)</w:t>
      </w:r>
    </w:p>
    <w:p>
      <w:r>
        <w:rPr>
          <w:rFonts w:ascii="Consolas" w:hAnsi="Consolas"/>
          <w:sz w:val="18"/>
        </w:rPr>
        <w:t>TrackTBI subjects with lesion masks     ──────────────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has T1w + DWI at ses-2WK (or chosen session)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Subjects passing initial QC       ──────────────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processed through all six arms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  Per-arm completion:</w:t>
      </w:r>
    </w:p>
    <w:p>
      <w:r>
        <w:rPr>
          <w:rFonts w:ascii="Consolas" w:hAnsi="Consolas"/>
          <w:sz w:val="18"/>
        </w:rPr>
        <w:t xml:space="preserve">           orig-std        ──────────────  N = ______</w:t>
      </w:r>
    </w:p>
    <w:p>
      <w:r>
        <w:rPr>
          <w:rFonts w:ascii="Consolas" w:hAnsi="Consolas"/>
          <w:sz w:val="18"/>
        </w:rPr>
        <w:t xml:space="preserve">           orig-lesion     ──────────────  N = ______</w:t>
      </w:r>
    </w:p>
    <w:p>
      <w:r>
        <w:rPr>
          <w:rFonts w:ascii="Consolas" w:hAnsi="Consolas"/>
          <w:sz w:val="18"/>
        </w:rPr>
        <w:t xml:space="preserve">           neurolit-std    ──────────────  N = ______</w:t>
      </w:r>
    </w:p>
    <w:p>
      <w:r>
        <w:rPr>
          <w:rFonts w:ascii="Consolas" w:hAnsi="Consolas"/>
          <w:sz w:val="18"/>
        </w:rPr>
        <w:t xml:space="preserve">           neurolit-lesion ──────────────  N = ______</w:t>
      </w:r>
    </w:p>
    <w:p>
      <w:r>
        <w:rPr>
          <w:rFonts w:ascii="Consolas" w:hAnsi="Consolas"/>
          <w:sz w:val="18"/>
        </w:rPr>
        <w:t xml:space="preserve">           vbt-std         ──────────────  N = ______</w:t>
      </w:r>
    </w:p>
    <w:p>
      <w:r>
        <w:rPr>
          <w:rFonts w:ascii="Consolas" w:hAnsi="Consolas"/>
          <w:sz w:val="18"/>
        </w:rPr>
        <w:t xml:space="preserve">           vbt-lesion      ──────────────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passing QC gate per arm (per analysis_plan § 7)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  Per-arm QC-clean N:</w:t>
      </w:r>
    </w:p>
    <w:p>
      <w:r>
        <w:rPr>
          <w:rFonts w:ascii="Consolas" w:hAnsi="Consolas"/>
          <w:sz w:val="18"/>
        </w:rPr>
        <w:t xml:space="preserve">           orig-std        ──────────────  N = ______</w:t>
      </w:r>
    </w:p>
    <w:p>
      <w:r>
        <w:rPr>
          <w:rFonts w:ascii="Consolas" w:hAnsi="Consolas"/>
          <w:sz w:val="18"/>
        </w:rPr>
        <w:t xml:space="preserve">           orig-lesion     ──────────────  N = ______</w:t>
      </w:r>
    </w:p>
    <w:p>
      <w:r>
        <w:rPr>
          <w:rFonts w:ascii="Consolas" w:hAnsi="Consolas"/>
          <w:sz w:val="18"/>
        </w:rPr>
        <w:t xml:space="preserve">           neurolit-std    ──────────────  N = ______</w:t>
      </w:r>
    </w:p>
    <w:p>
      <w:r>
        <w:rPr>
          <w:rFonts w:ascii="Consolas" w:hAnsi="Consolas"/>
          <w:sz w:val="18"/>
        </w:rPr>
        <w:t xml:space="preserve">           neurolit-lesion ──────────────  N = ______</w:t>
      </w:r>
    </w:p>
    <w:p>
      <w:r>
        <w:rPr>
          <w:rFonts w:ascii="Consolas" w:hAnsi="Consolas"/>
          <w:sz w:val="18"/>
        </w:rPr>
        <w:t xml:space="preserve">           vbt-std         ──────────────  N = ______</w:t>
      </w:r>
    </w:p>
    <w:p>
      <w:r>
        <w:rPr>
          <w:rFonts w:ascii="Consolas" w:hAnsi="Consolas"/>
          <w:sz w:val="18"/>
        </w:rPr>
        <w:t xml:space="preserve">           vbt-lesion      ──────────────  N = ______</w:t>
      </w:r>
    </w:p>
    <w:p>
      <w:r>
        <w:rPr>
          <w:rFonts w:ascii="Consolas" w:hAnsi="Consolas"/>
          <w:sz w:val="18"/>
        </w:rPr>
        <w:t xml:space="preserve">                       │</w:t>
      </w:r>
    </w:p>
    <w:p>
      <w:r>
        <w:rPr>
          <w:rFonts w:ascii="Consolas" w:hAnsi="Consolas"/>
          <w:sz w:val="18"/>
        </w:rPr>
        <w:t xml:space="preserve">                       │ minimum arm N (per analysis_plan § 6, default 40)</w:t>
      </w:r>
    </w:p>
    <w:p>
      <w:r>
        <w:rPr>
          <w:rFonts w:ascii="Consolas" w:hAnsi="Consolas"/>
          <w:sz w:val="18"/>
        </w:rPr>
        <w:t xml:space="preserve">                       ▼</w:t>
      </w:r>
    </w:p>
    <w:p>
      <w:r>
        <w:rPr>
          <w:rFonts w:ascii="Consolas" w:hAnsi="Consolas"/>
          <w:sz w:val="18"/>
        </w:rPr>
        <w:t xml:space="preserve">       Group-analysis go/no-go gate     ──────────────  min N = 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Per-subject × per-arm completion matrix (populate)</w:t>
      </w:r>
    </w:p>
    <w:p>
      <w:r>
        <w:t xml:space="preserve">Track completion at the </w:t>
      </w:r>
      <w:r>
        <w:rPr>
          <w:i/>
        </w:rPr>
        <w:t>arm level</w:t>
      </w:r>
      <w:r>
        <w:t xml:space="preserve"> per subject. Cells are </w:t>
      </w:r>
      <w:r>
        <w:rPr>
          <w:rFonts w:ascii="Consolas" w:hAnsi="Consolas"/>
          <w:sz w:val="20"/>
        </w:rPr>
        <w:t>✅</w:t>
      </w:r>
      <w:r>
        <w:t xml:space="preserve"> (complete + QC-pass), </w:t>
      </w:r>
      <w:r>
        <w:rPr>
          <w:rFonts w:ascii="Consolas" w:hAnsi="Consolas"/>
          <w:sz w:val="20"/>
        </w:rPr>
        <w:t>⚠️</w:t>
      </w:r>
      <w:r>
        <w:t xml:space="preserve"> (complete but QC-fail), </w:t>
      </w:r>
      <w:r>
        <w:rPr>
          <w:rFonts w:ascii="Consolas" w:hAnsi="Consolas"/>
          <w:sz w:val="20"/>
        </w:rPr>
        <w:t>❌</w:t>
      </w:r>
      <w:r>
        <w:t xml:space="preserve"> (failed processing), or </w:t>
      </w:r>
      <w:r>
        <w:rPr>
          <w:rFonts w:ascii="Consolas" w:hAnsi="Consolas"/>
          <w:sz w:val="20"/>
        </w:rPr>
        <w:t>⏳</w:t>
      </w:r>
      <w:r>
        <w:t xml:space="preserve"> (pending).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sub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ses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orig-std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orig-lesion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neurolit-std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neurolit-lesion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vbt-std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vbt-lesion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Deep Atropos pilot (Paper 1 supp)</w:t>
            </w:r>
          </w:p>
        </w:tc>
      </w:tr>
      <w:tr>
        <w:tc>
          <w:tcPr>
            <w:tcW w:type="dxa" w:w="1072"/>
          </w:tcPr>
          <w:p>
            <w:r/>
            <w:r>
              <w:t>TBI011011</w:t>
            </w:r>
          </w:p>
        </w:tc>
        <w:tc>
          <w:tcPr>
            <w:tcW w:type="dxa" w:w="1072"/>
          </w:tcPr>
          <w:p>
            <w:r/>
            <w:r>
              <w:t>2WK</w:t>
            </w:r>
          </w:p>
        </w:tc>
        <w:tc>
          <w:tcPr>
            <w:tcW w:type="dxa" w:w="1072"/>
          </w:tcPr>
          <w:p>
            <w:r/>
            <w:r>
              <w:t>✅</w:t>
            </w:r>
          </w:p>
        </w:tc>
        <w:tc>
          <w:tcPr>
            <w:tcW w:type="dxa" w:w="1072"/>
          </w:tcPr>
          <w:p>
            <w:r/>
            <w:r>
              <w:t>✅</w:t>
            </w:r>
          </w:p>
        </w:tc>
        <w:tc>
          <w:tcPr>
            <w:tcW w:type="dxa" w:w="1072"/>
          </w:tcPr>
          <w:p>
            <w:r/>
            <w:r>
              <w:t>✅</w:t>
            </w:r>
          </w:p>
        </w:tc>
        <w:tc>
          <w:tcPr>
            <w:tcW w:type="dxa" w:w="1072"/>
          </w:tcPr>
          <w:p>
            <w:r/>
            <w:r>
              <w:t>✅</w:t>
            </w:r>
          </w:p>
        </w:tc>
        <w:tc>
          <w:tcPr>
            <w:tcW w:type="dxa" w:w="1072"/>
          </w:tcPr>
          <w:p>
            <w:r/>
            <w:r>
              <w:t>✅</w:t>
            </w:r>
          </w:p>
        </w:tc>
        <w:tc>
          <w:tcPr>
            <w:tcW w:type="dxa" w:w="1072"/>
          </w:tcPr>
          <w:p>
            <w:r/>
            <w:r>
              <w:t>✅</w:t>
            </w:r>
          </w:p>
        </w:tc>
        <w:tc>
          <w:tcPr>
            <w:tcW w:type="dxa" w:w="1072"/>
          </w:tcPr>
          <w:p>
            <w:r/>
            <w:r>
              <w:t>✅</w:t>
            </w:r>
          </w:p>
        </w:tc>
      </w:tr>
      <w:tr>
        <w:tc>
          <w:tcPr>
            <w:tcW w:type="dxa" w:w="1072"/>
          </w:tcPr>
          <w:p>
            <w:r/>
            <w:r>
              <w:t>TBI011204</w:t>
            </w:r>
          </w:p>
        </w:tc>
        <w:tc>
          <w:tcPr>
            <w:tcW w:type="dxa" w:w="1072"/>
          </w:tcPr>
          <w:p>
            <w:r/>
            <w:r>
              <w:t>2WK</w:t>
            </w:r>
          </w:p>
        </w:tc>
        <w:tc>
          <w:tcPr>
            <w:tcW w:type="dxa" w:w="1072"/>
          </w:tcPr>
          <w:p>
            <w:r/>
            <w:r>
              <w:t>⏳</w:t>
            </w:r>
          </w:p>
        </w:tc>
        <w:tc>
          <w:tcPr>
            <w:tcW w:type="dxa" w:w="1072"/>
          </w:tcPr>
          <w:p>
            <w:r/>
            <w:r>
              <w:t>⏳</w:t>
            </w:r>
          </w:p>
        </w:tc>
        <w:tc>
          <w:tcPr>
            <w:tcW w:type="dxa" w:w="1072"/>
          </w:tcPr>
          <w:p>
            <w:r/>
            <w:r>
              <w:t>⏳</w:t>
            </w:r>
          </w:p>
        </w:tc>
        <w:tc>
          <w:tcPr>
            <w:tcW w:type="dxa" w:w="1072"/>
          </w:tcPr>
          <w:p>
            <w:r/>
            <w:r>
              <w:t>⏳</w:t>
            </w:r>
          </w:p>
        </w:tc>
        <w:tc>
          <w:tcPr>
            <w:tcW w:type="dxa" w:w="1072"/>
          </w:tcPr>
          <w:p>
            <w:r/>
            <w:r>
              <w:t>⏳</w:t>
            </w:r>
          </w:p>
        </w:tc>
        <w:tc>
          <w:tcPr>
            <w:tcW w:type="dxa" w:w="1072"/>
          </w:tcPr>
          <w:p>
            <w:r/>
            <w:r>
              <w:t>⏳</w:t>
            </w:r>
          </w:p>
        </w:tc>
        <w:tc>
          <w:tcPr>
            <w:tcW w:type="dxa" w:w="1072"/>
          </w:tcPr>
          <w:p>
            <w:r/>
            <w:r>
              <w:t>⏳</w:t>
            </w:r>
          </w:p>
        </w:tc>
      </w:tr>
      <w:tr>
        <w:tc>
          <w:tcPr>
            <w:tcW w:type="dxa" w:w="1072"/>
          </w:tcPr>
          <w:p>
            <w:r/>
            <w:r>
              <w:t>...</w:t>
            </w:r>
          </w:p>
        </w:tc>
        <w:tc>
          <w:tcPr>
            <w:tcW w:type="dxa" w:w="1072"/>
          </w:tcPr>
          <w:p>
            <w:r/>
          </w:p>
        </w:tc>
        <w:tc>
          <w:tcPr>
            <w:tcW w:type="dxa" w:w="1072"/>
          </w:tcPr>
          <w:p>
            <w:r/>
          </w:p>
        </w:tc>
        <w:tc>
          <w:tcPr>
            <w:tcW w:type="dxa" w:w="1072"/>
          </w:tcPr>
          <w:p>
            <w:r/>
          </w:p>
        </w:tc>
        <w:tc>
          <w:tcPr>
            <w:tcW w:type="dxa" w:w="1072"/>
          </w:tcPr>
          <w:p>
            <w:r/>
          </w:p>
        </w:tc>
        <w:tc>
          <w:tcPr>
            <w:tcW w:type="dxa" w:w="1072"/>
          </w:tcPr>
          <w:p>
            <w:r/>
          </w:p>
        </w:tc>
        <w:tc>
          <w:tcPr>
            <w:tcW w:type="dxa" w:w="1072"/>
          </w:tcPr>
          <w:p>
            <w:r/>
          </w:p>
        </w:tc>
        <w:tc>
          <w:tcPr>
            <w:tcW w:type="dxa" w:w="1072"/>
          </w:tcPr>
          <w:p>
            <w:r/>
          </w:p>
        </w:tc>
        <w:tc>
          <w:tcPr>
            <w:tcW w:type="dxa" w:w="1072"/>
          </w:tcPr>
          <w:p>
            <w:r/>
          </w:p>
        </w:tc>
      </w:tr>
    </w:tbl>
    <w:p/>
    <w:p>
      <w:pPr>
        <w:pStyle w:val="Heading3"/>
      </w:pPr>
      <w:r>
        <w:t>Columns explained</w:t>
      </w:r>
    </w:p>
    <w:p>
      <w:pPr>
        <w:pStyle w:val="ListBullet"/>
      </w:pPr>
      <w:r>
        <w:rPr>
          <w:b/>
        </w:rPr>
        <w:t>orig-std, orig-lesion:</w:t>
      </w:r>
      <w:r>
        <w:t xml:space="preserve"> original T1w anatomy; standard vs lesion-aware ACT</w:t>
      </w:r>
    </w:p>
    <w:p>
      <w:pPr>
        <w:pStyle w:val="ListBullet"/>
      </w:pPr>
      <w:r>
        <w:rPr>
          <w:b/>
        </w:rPr>
        <w:t>neurolit-std, neurolit-lesion:</w:t>
      </w:r>
      <w:r>
        <w:t xml:space="preserve"> neuroLIT-inpainted T1w; standard vs lesion-aware ACT</w:t>
      </w:r>
    </w:p>
    <w:p>
      <w:pPr>
        <w:pStyle w:val="ListBullet"/>
      </w:pPr>
      <w:r>
        <w:rPr>
          <w:b/>
        </w:rPr>
        <w:t>vbt-std, vbt-lesion:</w:t>
      </w:r>
      <w:r>
        <w:t xml:space="preserve"> VBT-transplanted T1w; standard vs lesion-aware ACT</w:t>
      </w:r>
    </w:p>
    <w:p>
      <w:pPr>
        <w:pStyle w:val="ListBullet"/>
      </w:pPr>
      <w:r>
        <w:rPr>
          <w:b/>
        </w:rPr>
        <w:t>Deep Atropos pilot:</w:t>
      </w:r>
      <w:r>
        <w:t xml:space="preserve"> optional supplement arm — run only on subset for Paper 3 supplement figure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Per-subject × per-arm QC metric dashboard (populate)</w:t>
      </w:r>
    </w:p>
    <w:p>
      <w:r>
        <w:t>For subjects marked complete, capture the key QC metrics used in analysis_plan.md § 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sub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arm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qsiprep.done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qsirecon.done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lesion_aware_act.done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connectome_shape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empty_node_frac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sift2_mu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pathology_QA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overall_QC</w:t>
            </w:r>
          </w:p>
        </w:tc>
      </w:tr>
      <w:tr>
        <w:tc>
          <w:tcPr>
            <w:tcW w:type="dxa" w:w="965"/>
          </w:tcPr>
          <w:p>
            <w:r/>
            <w:r>
              <w:t>TBI011011</w:t>
            </w:r>
          </w:p>
        </w:tc>
        <w:tc>
          <w:tcPr>
            <w:tcW w:type="dxa" w:w="965"/>
          </w:tcPr>
          <w:p>
            <w:r/>
            <w:r>
              <w:t>orig-lesion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  <w:tc>
          <w:tcPr>
            <w:tcW w:type="dxa" w:w="965"/>
          </w:tcPr>
          <w:p>
            <w:r/>
            <w:r>
              <w:t>n/a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  <w:tc>
          <w:tcPr>
            <w:tcW w:type="dxa" w:w="965"/>
          </w:tcPr>
          <w:p>
            <w:r/>
            <w:r>
              <w:t>78×78</w:t>
            </w:r>
          </w:p>
        </w:tc>
        <w:tc>
          <w:tcPr>
            <w:tcW w:type="dxa" w:w="965"/>
          </w:tcPr>
          <w:p>
            <w:r/>
            <w:r>
              <w:t>0.00</w:t>
            </w:r>
          </w:p>
        </w:tc>
        <w:tc>
          <w:tcPr>
            <w:tcW w:type="dxa" w:w="965"/>
          </w:tcPr>
          <w:p>
            <w:r/>
            <w:r>
              <w:t>0.42</w:t>
            </w:r>
          </w:p>
        </w:tc>
        <w:tc>
          <w:tcPr>
            <w:tcW w:type="dxa" w:w="965"/>
          </w:tcPr>
          <w:p>
            <w:r/>
            <w:r>
              <w:t>pass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</w:tr>
      <w:tr>
        <w:tc>
          <w:tcPr>
            <w:tcW w:type="dxa" w:w="965"/>
          </w:tcPr>
          <w:p>
            <w:r/>
            <w:r>
              <w:t>TBI011011</w:t>
            </w:r>
          </w:p>
        </w:tc>
        <w:tc>
          <w:tcPr>
            <w:tcW w:type="dxa" w:w="965"/>
          </w:tcPr>
          <w:p>
            <w:r/>
            <w:r>
              <w:t>neurolit-lesion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  <w:tc>
          <w:tcPr>
            <w:tcW w:type="dxa" w:w="965"/>
          </w:tcPr>
          <w:p>
            <w:r/>
            <w:r>
              <w:t>n/a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  <w:tc>
          <w:tcPr>
            <w:tcW w:type="dxa" w:w="965"/>
          </w:tcPr>
          <w:p>
            <w:r/>
            <w:r>
              <w:t>78×78</w:t>
            </w:r>
          </w:p>
        </w:tc>
        <w:tc>
          <w:tcPr>
            <w:tcW w:type="dxa" w:w="965"/>
          </w:tcPr>
          <w:p>
            <w:r/>
            <w:r>
              <w:t>0.00</w:t>
            </w:r>
          </w:p>
        </w:tc>
        <w:tc>
          <w:tcPr>
            <w:tcW w:type="dxa" w:w="965"/>
          </w:tcPr>
          <w:p>
            <w:r/>
            <w:r>
              <w:t>0.41</w:t>
            </w:r>
          </w:p>
        </w:tc>
        <w:tc>
          <w:tcPr>
            <w:tcW w:type="dxa" w:w="965"/>
          </w:tcPr>
          <w:p>
            <w:r/>
            <w:r>
              <w:t>pass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</w:tr>
      <w:tr>
        <w:tc>
          <w:tcPr>
            <w:tcW w:type="dxa" w:w="965"/>
          </w:tcPr>
          <w:p>
            <w:r/>
            <w:r>
              <w:t>TBI011011</w:t>
            </w:r>
          </w:p>
        </w:tc>
        <w:tc>
          <w:tcPr>
            <w:tcW w:type="dxa" w:w="965"/>
          </w:tcPr>
          <w:p>
            <w:r/>
            <w:r>
              <w:t>vbt-lesion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  <w:tc>
          <w:tcPr>
            <w:tcW w:type="dxa" w:w="965"/>
          </w:tcPr>
          <w:p>
            <w:r/>
            <w:r>
              <w:t>n/a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  <w:tc>
          <w:tcPr>
            <w:tcW w:type="dxa" w:w="965"/>
          </w:tcPr>
          <w:p>
            <w:r/>
            <w:r>
              <w:t>78×78</w:t>
            </w:r>
          </w:p>
        </w:tc>
        <w:tc>
          <w:tcPr>
            <w:tcW w:type="dxa" w:w="965"/>
          </w:tcPr>
          <w:p>
            <w:r/>
            <w:r>
              <w:t>0.00</w:t>
            </w:r>
          </w:p>
        </w:tc>
        <w:tc>
          <w:tcPr>
            <w:tcW w:type="dxa" w:w="965"/>
          </w:tcPr>
          <w:p>
            <w:r/>
            <w:r>
              <w:t>0.41</w:t>
            </w:r>
          </w:p>
        </w:tc>
        <w:tc>
          <w:tcPr>
            <w:tcW w:type="dxa" w:w="965"/>
          </w:tcPr>
          <w:p>
            <w:r/>
            <w:r>
              <w:t>pass</w:t>
            </w:r>
          </w:p>
        </w:tc>
        <w:tc>
          <w:tcPr>
            <w:tcW w:type="dxa" w:w="965"/>
          </w:tcPr>
          <w:p>
            <w:r/>
            <w:r>
              <w:t>✅</w:t>
            </w:r>
          </w:p>
        </w:tc>
      </w:tr>
      <w:tr>
        <w:tc>
          <w:tcPr>
            <w:tcW w:type="dxa" w:w="965"/>
          </w:tcPr>
          <w:p>
            <w:r/>
            <w:r>
              <w:t>...</w:t>
            </w:r>
          </w:p>
        </w:tc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</w:p>
        </w:tc>
        <w:tc>
          <w:tcPr>
            <w:tcW w:type="dxa" w:w="965"/>
          </w:tcPr>
          <w:p>
            <w:r/>
          </w:p>
        </w:tc>
      </w:tr>
    </w:tbl>
    <w:p/>
    <w:p>
      <w:pPr>
        <w:pStyle w:val="Heading3"/>
      </w:pPr>
      <w:r>
        <w:t>QC gate summary</w:t>
      </w:r>
    </w:p>
    <w:p>
      <w:pPr>
        <w:pStyle w:val="ListBullet"/>
      </w:pPr>
      <w:r>
        <w:t xml:space="preserve">✅ overall_QC pass = all of: qsiprep.done + qsirecon.done (or lesion_aware_act.done) + connectome shape correct + empty_node_frac ≤ 0.05 + sift2_mu in reasonable range + pathology QA pass (for </w:t>
      </w:r>
      <w:r>
        <w:rPr>
          <w:rFonts w:ascii="Consolas" w:hAnsi="Consolas"/>
          <w:sz w:val="20"/>
        </w:rPr>
        <w:t>*-lesion</w:t>
      </w:r>
      <w:r>
        <w:t xml:space="preserve"> arms).</w:t>
      </w:r>
    </w:p>
    <w:p>
      <w:pPr>
        <w:pStyle w:val="ListBullet"/>
      </w:pPr>
      <w:r>
        <w:t>⚠️ overall_QC review = one of the above fails but the arm technically completed — reviewer flag for inclusion decision.</w:t>
      </w:r>
    </w:p>
    <w:p>
      <w:pPr>
        <w:pStyle w:val="ListBullet"/>
      </w:pPr>
      <w:r>
        <w:t>❌ overall_QC fail = arm did not complete or connectome is unusable.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Suggested CSV file (populate)</w:t>
      </w:r>
    </w:p>
    <w:p>
      <w:r>
        <w:t xml:space="preserve">For programmatic use, mirror the per-subject-arm completion matrix to </w:t>
      </w:r>
      <w:r>
        <w:rPr>
          <w:rFonts w:ascii="Consolas" w:hAnsi="Consolas"/>
          <w:sz w:val="20"/>
        </w:rPr>
        <w:t>paper1_completion_matrix.csv</w:t>
      </w:r>
      <w:r>
        <w:t>. Columns:</w:t>
      </w:r>
    </w:p>
    <w:p>
      <w:r>
        <w:rPr>
          <w:rFonts w:ascii="Consolas" w:hAnsi="Consolas"/>
          <w:sz w:val="18"/>
        </w:rPr>
        <w:t>sub,ses,orig_std,orig_lesion,neurolit_std,neurolit_lesion,vbt_std,vbt_lesion,deep_atropos_pilot</w:t>
      </w:r>
    </w:p>
    <w:p>
      <w:r>
        <w:t xml:space="preserve">And a companion QC-metrics CSV </w:t>
      </w:r>
      <w:r>
        <w:rPr>
          <w:rFonts w:ascii="Consolas" w:hAnsi="Consolas"/>
          <w:sz w:val="20"/>
        </w:rPr>
        <w:t>paper1_qc_dashboard.csv</w:t>
      </w:r>
      <w:r>
        <w:t>:</w:t>
      </w:r>
    </w:p>
    <w:p>
      <w:r>
        <w:rPr>
          <w:rFonts w:ascii="Consolas" w:hAnsi="Consolas"/>
          <w:sz w:val="18"/>
        </w:rPr>
        <w:t>sub,arm,qsiprep_done,qsirecon_done,lesion_aware_act_done,connectome_shape,empty_node_frac,sift2_mu,pathology_QA,overall_QC</w:t>
      </w:r>
    </w:p>
    <w:p>
      <w:r>
        <w:t xml:space="preserve">Both should live in the analysis-code repo under </w:t>
      </w:r>
      <w:r>
        <w:rPr>
          <w:rFonts w:ascii="Consolas" w:hAnsi="Consolas"/>
          <w:sz w:val="20"/>
        </w:rPr>
        <w:t>paper1/data/</w:t>
      </w:r>
      <w:r>
        <w:t xml:space="preserve"> (git-ignore if containing PHI; store in secure institutional storage instead).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Group-analysis decision rule</w:t>
      </w:r>
    </w:p>
    <w:p>
      <w:r>
        <w:t xml:space="preserve">Per </w:t>
      </w:r>
      <w:r>
        <w:rPr>
          <w:color w:val="1F4E79"/>
          <w:u w:val="single"/>
        </w:rPr>
        <w:t>analysis_plan.md § 6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Min QC-clean N across all 6 arms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24"/>
          </w:tcPr>
          <w:p>
            <w:r/>
            <w:r>
              <w:t>≥ 80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Ideal cohort</w:t>
            </w:r>
            <w:r>
              <w:t xml:space="preserve"> — full 3×2 factorial with strong power → HBM solid; NeuroImage stretch feasible if synthetic-lesion validation also runs</w:t>
            </w:r>
          </w:p>
        </w:tc>
      </w:tr>
      <w:tr>
        <w:tc>
          <w:tcPr>
            <w:tcW w:type="dxa" w:w="4824"/>
          </w:tcPr>
          <w:p>
            <w:r/>
            <w:r>
              <w:t>40–79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Acceptable cohort</w:t>
            </w:r>
            <w:r>
              <w:t xml:space="preserve"> — proceed with group analysis + report per-arm completion honestly → HBM default</w:t>
            </w:r>
          </w:p>
        </w:tc>
      </w:tr>
      <w:tr>
        <w:tc>
          <w:tcPr>
            <w:tcW w:type="dxa" w:w="4824"/>
          </w:tcPr>
          <w:p>
            <w:r/>
            <w:r>
              <w:t>&lt; 40 in any arm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Reduced cohort</w:t>
            </w:r>
            <w:r>
              <w:t xml:space="preserve"> — report as failure-mode analysis in Discussion; consider dropping the low-N arm from primary contrast → HBM with limitations</w:t>
            </w:r>
          </w:p>
        </w:tc>
      </w:tr>
      <w:tr>
        <w:tc>
          <w:tcPr>
            <w:tcW w:type="dxa" w:w="4824"/>
          </w:tcPr>
          <w:p>
            <w:r/>
            <w:r>
              <w:t>&lt; 20 in ≥ 2 arms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Fold into a smaller manuscript</w:t>
            </w:r>
            <w:r>
              <w:t xml:space="preserve"> — cannot support the flagship factorial claim → HBM sensitivity paper only, or NeuroImage: Reports backup</w:t>
            </w:r>
          </w:p>
        </w:tc>
      </w:tr>
    </w:tbl>
    <w:p/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</w:t>
      </w:r>
    </w:p>
    <w:p>
      <w:pPr>
        <w:pStyle w:val="ListBullet"/>
      </w:pPr>
      <w:r>
        <w:rPr>
          <w:b/>
        </w:rPr>
        <w:t>PHI:</w:t>
      </w:r>
      <w:r>
        <w:t xml:space="preserve"> subject IDs and per-subject metrics may qualify as PHI depending on institutional policy — git-ignore the CSVs if so.</w:t>
      </w:r>
    </w:p>
    <w:p>
      <w:pPr>
        <w:pStyle w:val="ListBullet"/>
      </w:pPr>
      <w:r>
        <w:rPr>
          <w:b/>
        </w:rPr>
        <w:t>Sharing:</w:t>
      </w:r>
      <w:r>
        <w:t xml:space="preserve"> aggregate statistics (per-arm completion, per-arm QC pass rate) go in Table 2 of the manuscript.</w:t>
      </w:r>
    </w:p>
    <w:p>
      <w:pPr>
        <w:pStyle w:val="ListBullet"/>
      </w:pPr>
      <w:r>
        <w:rPr>
          <w:b/>
        </w:rPr>
        <w:t>Data provenance:</w:t>
      </w:r>
      <w:r>
        <w:t xml:space="preserve"> for each row, source is </w:t>
      </w:r>
      <w:r>
        <w:rPr>
          <w:rFonts w:ascii="Consolas" w:hAnsi="Consolas"/>
          <w:sz w:val="20"/>
        </w:rPr>
        <w:t>RESULTS_ROOT/arms/&lt;arm&gt;/.snakemake_markers/sub-&lt;ID&gt;/</w:t>
      </w:r>
      <w:r>
        <w:t xml:space="preserve"> + </w:t>
      </w:r>
      <w:r>
        <w:rPr>
          <w:rFonts w:ascii="Consolas" w:hAnsi="Consolas"/>
          <w:sz w:val="20"/>
        </w:rPr>
        <w:t>qc/sub-&lt;ID&gt;/subject_qc.json</w:t>
      </w:r>
      <w:r>
        <w:t xml:space="preserve"> from </w:t>
      </w:r>
      <w:r>
        <w:rPr>
          <w:rFonts w:ascii="Consolas" w:hAnsi="Consolas"/>
          <w:sz w:val="20"/>
        </w:rPr>
        <w:t>collect_subject_qc.py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