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Factorial paper — manuscript skeleton</w:t>
      </w:r>
    </w:p>
    <w:p>
      <w:r>
        <w:rPr>
          <w:b/>
        </w:rPr>
        <w:t>Purpose:</w:t>
      </w:r>
      <w:r>
        <w:t xml:space="preserve"> section-by-section writing template with word-count budgets for the factorial paper (Paper 1). Fill in as writing progresses.</w:t>
      </w:r>
    </w:p>
    <w:p>
      <w:r>
        <w:rPr>
          <w:b/>
        </w:rPr>
        <w:t>Related:</w:t>
      </w:r>
      <w:r>
        <w:t xml:space="preserve"> </w:t>
      </w:r>
      <w:r>
        <w:rPr>
          <w:color w:val="1F4E79"/>
          <w:u w:val="single"/>
        </w:rPr>
        <w:t>index.md</w:t>
      </w:r>
      <w:r>
        <w:t xml:space="preserve"> · </w:t>
      </w:r>
      <w:r>
        <w:rPr>
          <w:color w:val="1F4E79"/>
          <w:u w:val="single"/>
        </w:rPr>
        <w:t>analysis_plan.md</w:t>
      </w:r>
      <w:r>
        <w:t xml:space="preserve"> · </w:t>
      </w:r>
      <w:r>
        <w:rPr>
          <w:color w:val="1F4E79"/>
          <w:u w:val="single"/>
        </w:rPr>
        <w:t>../journal_tier.md</w:t>
      </w:r>
    </w:p>
    <w:p>
      <w:r>
        <w:rPr>
          <w:b/>
        </w:rPr>
        <w:t>Status:</w:t>
      </w:r>
      <w:r>
        <w:t xml:space="preserve"> BLANK skeleton (fill as writing progresses).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Title</w:t>
      </w:r>
    </w:p>
    <w:p>
      <w:r>
        <w:rPr>
          <w:b/>
        </w:rPr>
        <w:t>Working title (HBM default):</w:t>
      </w:r>
    </w:p>
    <w:p>
      <w:pPr>
        <w:ind w:left="432"/>
      </w:pPr>
      <w:r>
        <w:rPr>
          <w:color w:val="999999"/>
        </w:rPr>
        <w:t xml:space="preserve">│  </w:t>
      </w:r>
      <w:r>
        <w:t>Lesion-aware structural connectomics in traumatic brain injury: a factorial comparison of inpainting, virtual brain transplant, and pathology-informed tractography</w:t>
      </w:r>
    </w:p>
    <w:p>
      <w:r>
        <w:rPr>
          <w:b/>
        </w:rPr>
        <w:t>Working title (NeuroImage stretch — with synthetic-lesion validation):</w:t>
      </w:r>
    </w:p>
    <w:p>
      <w:pPr>
        <w:ind w:left="432"/>
      </w:pPr>
      <w:r>
        <w:rPr>
          <w:color w:val="999999"/>
        </w:rPr>
        <w:t xml:space="preserve">│  </w:t>
      </w:r>
      <w:r>
        <w:t>A 3×2 factorial of anatomical mitigation and lesion-aware tractography for structural connectomics in traumatic brain injury, with synthetic-lesion validation</w:t>
      </w:r>
    </w:p>
    <w:p>
      <w:r>
        <w:rPr>
          <w:b/>
        </w:rPr>
        <w:t>Locked title:</w:t>
      </w:r>
      <w:r>
        <w:t xml:space="preserve"> ______________________________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Abstract (~250 words)</w:t>
      </w:r>
    </w:p>
    <w:p>
      <w:r>
        <w:rPr>
          <w:b/>
        </w:rPr>
        <w:t>Structure:</w:t>
      </w:r>
    </w:p>
    <w:p>
      <w:pPr>
        <w:pStyle w:val="ListBullet"/>
      </w:pPr>
      <w:r>
        <w:t>Background (60–80 words): TBI-connectome problem; how anatomy handling and lesion-aware ACT are current knobs; LeAPP's stroke precedent</w:t>
      </w:r>
    </w:p>
    <w:p>
      <w:pPr>
        <w:pStyle w:val="ListBullet"/>
      </w:pPr>
      <w:r>
        <w:t>Methods (50–70 words): cohort, six arms (2×3 factorial), primary numeric outcome, contrast set</w:t>
      </w:r>
    </w:p>
    <w:p>
      <w:pPr>
        <w:pStyle w:val="ListBullet"/>
      </w:pPr>
      <w:r>
        <w:t>Results (60–80 words): completion rates by arm; effect sizes for primary and interaction contrasts</w:t>
      </w:r>
    </w:p>
    <w:p>
      <w:pPr>
        <w:pStyle w:val="ListBullet"/>
      </w:pPr>
      <w:r>
        <w:t>Interpretation (40–60 words): which choices matter more, in what direction, and clinical / research implications</w:t>
      </w:r>
    </w:p>
    <w:p>
      <w:r>
        <w:rPr>
          <w:b/>
        </w:rPr>
        <w:t>Opening line (default HBM version):</w:t>
      </w:r>
    </w:p>
    <w:p>
      <w:pPr>
        <w:ind w:left="432"/>
      </w:pPr>
      <w:r>
        <w:rPr>
          <w:color w:val="999999"/>
        </w:rPr>
        <w:t xml:space="preserve">│  </w:t>
      </w:r>
      <w:r>
        <w:t>Focal traumatic brain injury lesions distort the assumptions of standard connectome pipelines; two independent decisions — how to correct anatomy before recon (inpainting or virtual brain transplant) and whether to insert the lesion into the tractography pathology channel — can each change the resulting connectome, but their relative importance and their interaction in TBI are unknown.</w:t>
      </w:r>
    </w:p>
    <w:p>
      <w:r>
        <w:rPr>
          <w:b/>
        </w:rPr>
        <w:t>Opening line (NeuroImage stretch version):</w:t>
      </w:r>
    </w:p>
    <w:p>
      <w:pPr>
        <w:ind w:left="432"/>
      </w:pPr>
      <w:r>
        <w:rPr>
          <w:color w:val="999999"/>
        </w:rPr>
        <w:t xml:space="preserve">│  </w:t>
      </w:r>
      <w:r>
        <w:t>...same as above + "We evaluate a six-arm factorial across ~100 TrackTBI lesion subjects and validate with synthetic lesions injected on healthy controls (LeAPP-style)."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Introduction (word budget: ~1200)</w:t>
      </w:r>
    </w:p>
    <w:p>
      <w:r>
        <w:rPr>
          <w:b/>
        </w:rPr>
        <w:t>Suggested paragraph structure:</w:t>
      </w:r>
    </w:p>
    <w:p>
      <w:pPr>
        <w:pStyle w:val="ListNumber"/>
      </w:pPr>
      <w:r>
        <w:t>Clinical framing — TBI burden, focal-lesion subset (~2M TBIs/yr US, focal-lesion subset with imaging characterizable)</w:t>
      </w:r>
    </w:p>
    <w:p>
      <w:pPr>
        <w:pStyle w:val="ListNumber"/>
      </w:pPr>
      <w:r>
        <w:t>Standard connectome pipelines and where they break for focal lesions — registration, segmentation, tractography priors</w:t>
      </w:r>
    </w:p>
    <w:p>
      <w:pPr>
        <w:pStyle w:val="ListNumber"/>
      </w:pPr>
      <w:r>
        <w:t>LeAPP framework (Bey et al. 2024) — two independent axes: anatomy mitigation (VBT) × lesion-aware ACT</w:t>
      </w:r>
    </w:p>
    <w:p>
      <w:pPr>
        <w:pStyle w:val="ListNumber"/>
      </w:pPr>
      <w:r>
        <w:t>Extending from stroke to TBI — why TBI's heterogeneous morphology matters (mass effect, oedema, bilateral)</w:t>
      </w:r>
    </w:p>
    <w:p>
      <w:pPr>
        <w:pStyle w:val="ListNumber"/>
      </w:pPr>
      <w:r>
        <w:t>Our contribution — first cohort-scale 3×2 factorial in TBI adding neuroLIT (Pollak et al. 2025) as a third anatomy backend</w:t>
      </w:r>
    </w:p>
    <w:p>
      <w:pPr>
        <w:pStyle w:val="ListNumber"/>
      </w:pPr>
      <w:r>
        <w:t>Predictions and organization</w:t>
      </w:r>
    </w:p>
    <w:p>
      <w:r>
        <w:rPr>
          <w:b/>
        </w:rPr>
        <w:t>Anchor citations by paragraph:</w:t>
      </w:r>
    </w:p>
    <w:p>
      <w:pPr>
        <w:pStyle w:val="ListBullet"/>
      </w:pPr>
      <w:r>
        <w:t>Paragraph 1: Palacios 2022 (TBI cohort scale), general TBI epidemiology</w:t>
      </w:r>
    </w:p>
    <w:p>
      <w:pPr>
        <w:pStyle w:val="ListBullet"/>
      </w:pPr>
      <w:r>
        <w:t>Paragraph 2: Warren 2015 (TBI connectome issues), general connectome methodology</w:t>
      </w:r>
    </w:p>
    <w:p>
      <w:pPr>
        <w:pStyle w:val="ListBullet"/>
      </w:pPr>
      <w:r>
        <w:t xml:space="preserve">Paragraph 3: </w:t>
      </w:r>
      <w:r>
        <w:rPr>
          <w:b/>
        </w:rPr>
        <w:t>Bey 2024</w:t>
      </w:r>
      <w:r>
        <w:t xml:space="preserve"> (LeAPP), Radwan 2020 (VBG lineage)</w:t>
      </w:r>
    </w:p>
    <w:p>
      <w:pPr>
        <w:pStyle w:val="ListBullet"/>
      </w:pPr>
      <w:r>
        <w:t>Paragraph 4: Radwan 2023 (TBI + VBG + ACT small-N precedent)</w:t>
      </w:r>
    </w:p>
    <w:p>
      <w:pPr>
        <w:pStyle w:val="ListBullet"/>
      </w:pPr>
      <w:r>
        <w:t>Paragraph 5: Pollak 2025 (neuroLIT), Smith 2012 (ACT foundation), Cieslak 2021 (QSIPrep)</w:t>
      </w:r>
    </w:p>
    <w:p>
      <w:pPr>
        <w:pStyle w:val="ListBullet"/>
      </w:pPr>
      <w:r>
        <w:t>Paragraph 6: (self-referential)</w:t>
      </w:r>
    </w:p>
    <w:p>
      <w:r>
        <w:rPr>
          <w:b/>
        </w:rPr>
        <w:t>Length:</w:t>
      </w:r>
      <w:r>
        <w:t xml:space="preserve"> _____________ (fill as written)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Methods (word budget: ~2500)</w:t>
      </w:r>
    </w:p>
    <w:p>
      <w:r>
        <w:t>Sections in order:</w:t>
      </w:r>
    </w:p>
    <w:p>
      <w:pPr>
        <w:pStyle w:val="ListNumber"/>
      </w:pPr>
      <w:r>
        <w:rPr>
          <w:b/>
        </w:rPr>
        <w:t>Cohort</w:t>
      </w:r>
      <w:r>
        <w:t xml:space="preserve"> (~300 words) — TrackTBI subset with lesion masks, inclusion / exclusion, N, demographics</w:t>
      </w:r>
    </w:p>
    <w:p>
      <w:pPr>
        <w:pStyle w:val="ListNumber"/>
      </w:pPr>
      <w:r>
        <w:rPr>
          <w:b/>
        </w:rPr>
        <w:t>Imaging acquisition</w:t>
      </w:r>
      <w:r>
        <w:t xml:space="preserve"> (~200 words) — T1w, DWI (b-value, directions, TR/TE), site distribution if multisite</w:t>
      </w:r>
    </w:p>
    <w:p>
      <w:pPr>
        <w:pStyle w:val="ListNumber"/>
      </w:pPr>
      <w:r>
        <w:rPr>
          <w:b/>
        </w:rPr>
        <w:t>Preprocessing</w:t>
      </w:r>
      <w:r>
        <w:t xml:space="preserve"> (~200 words) — QSIPrep, FastSurfer + FreeSurfer, ACPC registration workflow</w:t>
      </w:r>
    </w:p>
    <w:p>
      <w:pPr>
        <w:pStyle w:val="ListNumber"/>
      </w:pPr>
      <w:r>
        <w:rPr>
          <w:b/>
        </w:rPr>
        <w:t>Anatomy mitigation</w:t>
      </w:r>
      <w:r>
        <w:t xml:space="preserve"> (~350 words) — Step 1.1 for neuroLIT (DDPM-based Pollak 2025) and VBT (Bey 2024 port, </w:t>
      </w:r>
      <w:r>
        <w:rPr>
          <w:rFonts w:ascii="Consolas" w:hAnsi="Consolas"/>
          <w:sz w:val="20"/>
        </w:rPr>
        <w:t>run_vbt.py</w:t>
      </w:r>
      <w:r>
        <w:t>); orig baseline</w:t>
      </w:r>
    </w:p>
    <w:p>
      <w:pPr>
        <w:pStyle w:val="ListNumber"/>
      </w:pPr>
      <w:r>
        <w:rPr>
          <w:b/>
        </w:rPr>
        <w:t>Tractography</w:t>
      </w:r>
      <w:r>
        <w:t xml:space="preserve"> (~400 words) — QSIRecon MRtrix3, HSVS 5TT, </w:t>
      </w:r>
      <w:r>
        <w:rPr>
          <w:rFonts w:ascii="Consolas" w:hAnsi="Consolas"/>
          <w:sz w:val="20"/>
        </w:rPr>
        <w:t>5ttedit -path</w:t>
      </w:r>
      <w:r>
        <w:t xml:space="preserve"> for </w:t>
      </w:r>
      <w:r>
        <w:rPr>
          <w:rFonts w:ascii="Consolas" w:hAnsi="Consolas"/>
          <w:sz w:val="20"/>
        </w:rPr>
        <w:t>*-lesion</w:t>
      </w:r>
      <w:r>
        <w:t xml:space="preserve"> arms, iFOD2 + SIFT2 weighting</w:t>
      </w:r>
    </w:p>
    <w:p>
      <w:pPr>
        <w:pStyle w:val="ListNumber"/>
      </w:pPr>
      <w:r>
        <w:rPr>
          <w:b/>
        </w:rPr>
        <w:t>Connectome construction</w:t>
      </w:r>
      <w:r>
        <w:t xml:space="preserve"> (~250 words) — DKT parcellation, SIFT2-weighted matrices per arm, per-arm output isolation</w:t>
      </w:r>
    </w:p>
    <w:p>
      <w:pPr>
        <w:pStyle w:val="ListNumber"/>
      </w:pPr>
      <w:r>
        <w:rPr>
          <w:b/>
        </w:rPr>
        <w:t>Statistical framework</w:t>
      </w:r>
      <w:r>
        <w:t xml:space="preserve"> (~500 words) — primary numeric outcome definition, pre-specified contrasts, within-subject paired tests, interaction ANOVA, multiple-comparison correction</w:t>
      </w:r>
    </w:p>
    <w:p>
      <w:pPr>
        <w:pStyle w:val="ListNumber"/>
      </w:pPr>
      <w:r>
        <w:rPr>
          <w:b/>
        </w:rPr>
        <w:t>QC and completion tracking</w:t>
      </w:r>
      <w:r>
        <w:t xml:space="preserve"> (~150 words) — per-subject-arm QC gate, completion matrix</w:t>
      </w:r>
    </w:p>
    <w:p>
      <w:pPr>
        <w:pStyle w:val="ListNumber"/>
      </w:pPr>
      <w:r>
        <w:rPr>
          <w:b/>
        </w:rPr>
        <w:t>Software and reproducibility</w:t>
      </w:r>
      <w:r>
        <w:t xml:space="preserve"> (~200 words) — containers, DAG, provenance JSON, code and container URLs</w:t>
      </w:r>
    </w:p>
    <w:p>
      <w:pPr>
        <w:pStyle w:val="ListNumber"/>
      </w:pPr>
      <w:r>
        <w:rPr>
          <w:b/>
        </w:rPr>
        <w:t>Synthetic-lesion validation</w:t>
      </w:r>
      <w:r>
        <w:t xml:space="preserve"> (if NeuroImage stretch, ~200 words) — CIDUR controls, lesion injection protocol, recovery metric</w:t>
      </w:r>
    </w:p>
    <w:p>
      <w:r>
        <w:rPr>
          <w:b/>
        </w:rPr>
        <w:t>Length:</w:t>
      </w:r>
      <w:r>
        <w:t xml:space="preserve"> _____________ (fill as written)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Results (word budget: ~2000)</w:t>
      </w:r>
    </w:p>
    <w:p>
      <w:pPr>
        <w:pStyle w:val="Heading3"/>
      </w:pPr>
      <w:r>
        <w:t>Figures and tables</w:t>
      </w:r>
    </w:p>
    <w:p>
      <w:pPr>
        <w:pStyle w:val="ListBullet"/>
      </w:pPr>
      <w:r>
        <w:rPr>
          <w:b/>
        </w:rPr>
        <w:t>Figure 1</w:t>
      </w:r>
      <w:r>
        <w:t xml:space="preserve"> — pipeline schematic showing six arms + Deep Atropos supplement branch + ACPC lesion warp workflow</w:t>
      </w:r>
    </w:p>
    <w:p>
      <w:pPr>
        <w:pStyle w:val="ListBullet"/>
      </w:pPr>
      <w:r>
        <w:rPr>
          <w:b/>
        </w:rPr>
        <w:t>Figure 2</w:t>
      </w:r>
      <w:r>
        <w:t xml:space="preserve"> — cohort QC by arm: completion rate, pathology QA pass rate, streamline counts per arm (bar/violin)</w:t>
      </w:r>
    </w:p>
    <w:p>
      <w:pPr>
        <w:pStyle w:val="ListBullet"/>
      </w:pPr>
      <w:r>
        <w:rPr>
          <w:b/>
        </w:rPr>
        <w:t>Figure 3</w:t>
      </w:r>
      <w:r>
        <w:t xml:space="preserve"> — factorial sensitivity: distributions of connectome change across arms; heatmap of contrasts</w:t>
      </w:r>
    </w:p>
    <w:p>
      <w:pPr>
        <w:pStyle w:val="ListBullet"/>
      </w:pPr>
      <w:r>
        <w:rPr>
          <w:b/>
        </w:rPr>
        <w:t>Figure 4</w:t>
      </w:r>
      <w:r>
        <w:t xml:space="preserve"> — representative cases (3 subjects: unilateral / bilateral / large): lesion + pathology channel + tractography overlays across arms</w:t>
      </w:r>
    </w:p>
    <w:p>
      <w:pPr>
        <w:pStyle w:val="ListBullet"/>
      </w:pPr>
      <w:r>
        <w:rPr>
          <w:b/>
        </w:rPr>
        <w:t>Figure 5</w:t>
      </w:r>
      <w:r>
        <w:t xml:space="preserve"> — anatomy × ACT interaction plot (or forest plot of contrast effect sizes)</w:t>
      </w:r>
    </w:p>
    <w:p>
      <w:pPr>
        <w:pStyle w:val="ListBullet"/>
      </w:pPr>
      <w:r>
        <w:rPr>
          <w:b/>
        </w:rPr>
        <w:t>Figure 6</w:t>
      </w:r>
      <w:r>
        <w:t xml:space="preserve"> — optional: synthetic-lesion recovery on CIDUR (NeuroImage stretch only) — recovered vs expected connectivity loss</w:t>
      </w:r>
    </w:p>
    <w:p>
      <w:pPr>
        <w:pStyle w:val="ListBullet"/>
      </w:pPr>
      <w:r>
        <w:rPr>
          <w:b/>
        </w:rPr>
        <w:t>Table 1</w:t>
      </w:r>
      <w:r>
        <w:t xml:space="preserve"> — cohort demographics + clinical severity distribution</w:t>
      </w:r>
    </w:p>
    <w:p>
      <w:pPr>
        <w:pStyle w:val="ListBullet"/>
      </w:pPr>
      <w:r>
        <w:rPr>
          <w:b/>
        </w:rPr>
        <w:t>Table 2</w:t>
      </w:r>
      <w:r>
        <w:t xml:space="preserve"> — completion by arm (RQ4 primary result)</w:t>
      </w:r>
    </w:p>
    <w:p>
      <w:pPr>
        <w:pStyle w:val="ListBullet"/>
      </w:pPr>
      <w:r>
        <w:rPr>
          <w:b/>
        </w:rPr>
        <w:t>Table 3</w:t>
      </w:r>
      <w:r>
        <w:t xml:space="preserve"> — pre-specified contrasts with effect sizes, p-values, and multiple-comparison adjustments</w:t>
      </w:r>
    </w:p>
    <w:p>
      <w:pPr>
        <w:pStyle w:val="Heading3"/>
      </w:pPr>
      <w:r>
        <w:t>Suggested result narrative</w:t>
      </w:r>
    </w:p>
    <w:p>
      <w:pPr>
        <w:pStyle w:val="ListBullet"/>
      </w:pPr>
      <w:r>
        <w:t>Cohort characteristics</w:t>
      </w:r>
    </w:p>
    <w:p>
      <w:pPr>
        <w:pStyle w:val="ListBullet"/>
      </w:pPr>
      <w:r>
        <w:t>Completion by arm (RQ4)</w:t>
      </w:r>
    </w:p>
    <w:p>
      <w:pPr>
        <w:pStyle w:val="ListBullet"/>
      </w:pPr>
      <w:r>
        <w:t xml:space="preserve">Primary contrast: </w:t>
      </w:r>
      <w:r>
        <w:rPr>
          <w:rFonts w:ascii="Consolas" w:hAnsi="Consolas"/>
          <w:sz w:val="20"/>
        </w:rPr>
        <w:t>*-std</w:t>
      </w:r>
      <w:r>
        <w:t xml:space="preserve"> vs </w:t>
      </w:r>
      <w:r>
        <w:rPr>
          <w:rFonts w:ascii="Consolas" w:hAnsi="Consolas"/>
          <w:sz w:val="20"/>
        </w:rPr>
        <w:t>*-lesion</w:t>
      </w:r>
      <w:r>
        <w:t xml:space="preserve"> within each anatomy (RQ1)</w:t>
      </w:r>
    </w:p>
    <w:p>
      <w:pPr>
        <w:pStyle w:val="ListBullet"/>
      </w:pPr>
      <w:r>
        <w:t>Secondary contrast: anatomy comparisons (RQ2)</w:t>
      </w:r>
    </w:p>
    <w:p>
      <w:pPr>
        <w:pStyle w:val="ListBullet"/>
      </w:pPr>
      <w:r>
        <w:t>Interaction contrast (RQ3)</w:t>
      </w:r>
    </w:p>
    <w:p>
      <w:pPr>
        <w:pStyle w:val="ListBullet"/>
      </w:pPr>
      <w:r>
        <w:t>Synthetic-lesion validation if run (RQ5)</w:t>
      </w:r>
    </w:p>
    <w:p>
      <w:r>
        <w:rPr>
          <w:b/>
        </w:rPr>
        <w:t>Length:</w:t>
      </w:r>
      <w:r>
        <w:t xml:space="preserve"> _____________ (fill as written)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Discussion (word budget: ~1800)</w:t>
      </w:r>
    </w:p>
    <w:p>
      <w:r>
        <w:t>Suggested paragraph structure:</w:t>
      </w:r>
    </w:p>
    <w:p>
      <w:pPr>
        <w:pStyle w:val="ListNumber"/>
      </w:pPr>
      <w:r>
        <w:t>Restate primary findings with effect sizes</w:t>
      </w:r>
    </w:p>
    <w:p>
      <w:pPr>
        <w:pStyle w:val="ListNumber"/>
      </w:pPr>
      <w:r>
        <w:t>Interpret: which axis matters more (anatomy vs ACT); by how much; in which subgroups</w:t>
      </w:r>
    </w:p>
    <w:p>
      <w:pPr>
        <w:pStyle w:val="ListNumber"/>
      </w:pPr>
      <w:r>
        <w:t>Comparison with LeAPP stroke results — what generalizes, what differs, why TBI is different</w:t>
      </w:r>
    </w:p>
    <w:p>
      <w:pPr>
        <w:pStyle w:val="ListNumber"/>
      </w:pPr>
      <w:r>
        <w:t>Practical implications for future TBI connectome studies — which arm as default</w:t>
      </w:r>
    </w:p>
    <w:p>
      <w:pPr>
        <w:pStyle w:val="ListNumber"/>
      </w:pPr>
      <w:r>
        <w:t>Limitations: single cohort, no external replication, N constrained by lesion-mask availability, cohort heterogeneity</w:t>
      </w:r>
    </w:p>
    <w:p>
      <w:pPr>
        <w:pStyle w:val="ListNumber"/>
      </w:pPr>
      <w:r>
        <w:t>Future directions: longitudinal (Paper 4), disconnection-outcomes (Paper 2), Deep Atropos supplement (Paper 3 material)</w:t>
      </w:r>
    </w:p>
    <w:p>
      <w:r>
        <w:rPr>
          <w:b/>
        </w:rPr>
        <w:t>Length:</w:t>
      </w:r>
      <w:r>
        <w:t xml:space="preserve"> _____________ (fill as written)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Data and code availability</w:t>
      </w:r>
    </w:p>
    <w:p>
      <w:pPr>
        <w:pStyle w:val="ListBullet"/>
      </w:pPr>
      <w:r>
        <w:t>BIDS derivatives: ______</w:t>
      </w:r>
    </w:p>
    <w:p>
      <w:pPr>
        <w:pStyle w:val="ListBullet"/>
      </w:pPr>
      <w:r>
        <w:t xml:space="preserve">Containers: GHCR — </w:t>
      </w:r>
      <w:r>
        <w:rPr>
          <w:rFonts w:ascii="Consolas" w:hAnsi="Consolas"/>
          <w:sz w:val="20"/>
        </w:rPr>
        <w:t>ghcr.io/phindagijimana/dkt-connectome</w:t>
      </w:r>
      <w:r>
        <w:t xml:space="preserve"> (and dkt-lesion-act, dkt-vbt, dkt-neurolit); DockerHub — </w:t>
      </w:r>
      <w:r>
        <w:rPr>
          <w:rFonts w:ascii="Consolas" w:hAnsi="Consolas"/>
          <w:sz w:val="20"/>
        </w:rPr>
        <w:t>phindagijimana/dkt-connectome</w:t>
      </w:r>
    </w:p>
    <w:p>
      <w:pPr>
        <w:pStyle w:val="ListBullet"/>
      </w:pPr>
      <w:r>
        <w:t xml:space="preserve">Code repo: </w:t>
      </w:r>
      <w:r>
        <w:rPr>
          <w:color w:val="1F4E79"/>
          <w:u w:val="single"/>
        </w:rPr>
        <w:t>https://github.com/phindagijimana/dkt_connectome</w:t>
      </w:r>
      <w:r>
        <w:t xml:space="preserve"> at tag ______</w:t>
      </w:r>
    </w:p>
    <w:p>
      <w:pPr>
        <w:pStyle w:val="ListBullet"/>
      </w:pPr>
      <w:r>
        <w:t xml:space="preserve">Analysis code: repo </w:t>
      </w:r>
      <w:r>
        <w:rPr>
          <w:rFonts w:ascii="Consolas" w:hAnsi="Consolas"/>
          <w:sz w:val="20"/>
        </w:rPr>
        <w:t>paper1/</w:t>
      </w:r>
      <w:r>
        <w:t xml:space="preserve"> subdir at tag ______</w:t>
      </w:r>
    </w:p>
    <w:p>
      <w:pPr>
        <w:pStyle w:val="Heading2"/>
      </w:pPr>
      <w:r>
        <w:t>Author contributions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Author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Contribution</w:t>
            </w:r>
          </w:p>
        </w:tc>
      </w:tr>
      <w:tr>
        <w:tc>
          <w:tcPr>
            <w:tcW w:type="dxa" w:w="4824"/>
          </w:tcPr>
          <w:p>
            <w:r/>
            <w:r>
              <w:t>Phind Ndagijimana</w:t>
            </w:r>
          </w:p>
        </w:tc>
        <w:tc>
          <w:tcPr>
            <w:tcW w:type="dxa" w:w="4824"/>
          </w:tcPr>
          <w:p>
            <w:r/>
            <w:r>
              <w:t>Pipeline development, cohort processing, analysis, drafting</w:t>
            </w:r>
          </w:p>
        </w:tc>
      </w:tr>
      <w:tr>
        <w:tc>
          <w:tcPr>
            <w:tcW w:type="dxa" w:w="4824"/>
          </w:tcPr>
          <w:p>
            <w:r/>
            <w:r>
              <w:t>PI</w:t>
            </w:r>
          </w:p>
        </w:tc>
        <w:tc>
          <w:tcPr>
            <w:tcW w:type="dxa" w:w="4824"/>
          </w:tcPr>
          <w:p>
            <w:r/>
            <w:r>
              <w:t>Study conception, cohort access, interpretation, revisions</w:t>
            </w:r>
          </w:p>
        </w:tc>
      </w:tr>
      <w:tr>
        <w:tc>
          <w:tcPr>
            <w:tcW w:type="dxa" w:w="4824"/>
          </w:tcPr>
          <w:p>
            <w:r/>
            <w:r>
              <w:t>...</w:t>
            </w:r>
          </w:p>
        </w:tc>
        <w:tc>
          <w:tcPr>
            <w:tcW w:type="dxa" w:w="4824"/>
          </w:tcPr>
          <w:p>
            <w:r/>
            <w:r>
              <w:t>...</w:t>
            </w:r>
          </w:p>
        </w:tc>
      </w:tr>
    </w:tbl>
    <w:p/>
    <w:p>
      <w:pPr>
        <w:pStyle w:val="Heading2"/>
      </w:pPr>
      <w:r>
        <w:t>Acknowledgements</w:t>
      </w:r>
    </w:p>
    <w:p>
      <w:r>
        <w:t>Compute: URMC HPC. TrackTBI investigators. Data-contributing sites.</w:t>
      </w:r>
    </w:p>
    <w:p>
      <w:r>
        <w:t>Funding: ______</w:t>
      </w:r>
    </w:p>
    <w:p>
      <w:pPr>
        <w:pStyle w:val="Heading2"/>
      </w:pPr>
      <w:r>
        <w:t>Supplement</w:t>
      </w:r>
    </w:p>
    <w:p>
      <w:pPr>
        <w:pStyle w:val="ListBullet"/>
      </w:pPr>
      <w:r>
        <w:rPr>
          <w:b/>
        </w:rPr>
        <w:t>S1</w:t>
      </w:r>
      <w:r>
        <w:t xml:space="preserve"> — per-subject / per-arm completion matrix</w:t>
      </w:r>
    </w:p>
    <w:p>
      <w:pPr>
        <w:pStyle w:val="ListBullet"/>
      </w:pPr>
      <w:r>
        <w:rPr>
          <w:b/>
        </w:rPr>
        <w:t>S2</w:t>
      </w:r>
      <w:r>
        <w:t xml:space="preserve"> — QC dashboards (sample screenshots)</w:t>
      </w:r>
    </w:p>
    <w:p>
      <w:pPr>
        <w:pStyle w:val="ListBullet"/>
      </w:pPr>
      <w:r>
        <w:rPr>
          <w:b/>
        </w:rPr>
        <w:t>S3</w:t>
      </w:r>
      <w:r>
        <w:t xml:space="preserve"> — sensitivity: Schaefer 200 alternative parcellation</w:t>
      </w:r>
    </w:p>
    <w:p>
      <w:pPr>
        <w:pStyle w:val="ListBullet"/>
      </w:pPr>
      <w:r>
        <w:rPr>
          <w:b/>
        </w:rPr>
        <w:t>S4</w:t>
      </w:r>
      <w:r>
        <w:t xml:space="preserve"> — sensitivity: Deep Atropos vs HSVS 5TT (Paper 3 supplement material)</w:t>
      </w:r>
    </w:p>
    <w:p>
      <w:pPr>
        <w:pStyle w:val="ListBullet"/>
      </w:pPr>
      <w:r>
        <w:rPr>
          <w:b/>
        </w:rPr>
        <w:t>S5</w:t>
      </w:r>
      <w:r>
        <w:t xml:space="preserve"> — sensitivity: bilateral-lesion subgroup</w:t>
      </w:r>
    </w:p>
    <w:p>
      <w:pPr>
        <w:pStyle w:val="ListBullet"/>
      </w:pPr>
      <w:r>
        <w:rPr>
          <w:b/>
        </w:rPr>
        <w:t>S6</w:t>
      </w:r>
      <w:r>
        <w:t xml:space="preserve"> — provenance JSON schema example + container digest table</w:t>
      </w:r>
    </w:p>
    <w:p>
      <w:pPr>
        <w:pStyle w:val="ListBullet"/>
      </w:pPr>
      <w:r>
        <w:rPr>
          <w:b/>
        </w:rPr>
        <w:t>S7</w:t>
      </w:r>
      <w:r>
        <w:t xml:space="preserve"> — analysis-plan pre-registration (from </w:t>
      </w:r>
      <w:r>
        <w:rPr>
          <w:rFonts w:ascii="Consolas" w:hAnsi="Consolas"/>
          <w:sz w:val="20"/>
        </w:rPr>
        <w:t>analysis_plan.md</w:t>
      </w:r>
      <w:r>
        <w:t xml:space="preserve"> at sign-off)</w:t>
      </w:r>
    </w:p>
    <w:p>
      <w:pPr>
        <w:pStyle w:val="ListBullet"/>
      </w:pPr>
      <w:r>
        <w:rPr>
          <w:b/>
        </w:rPr>
        <w:t>S8</w:t>
      </w:r>
      <w:r>
        <w:t xml:space="preserve"> — synthetic-lesion validation details (if NeuroImage stretch)</w:t>
      </w:r>
    </w:p>
    <w:p>
      <w:r>
        <w:rPr>
          <w:b/>
        </w:rPr>
        <w:t>Figures: 5–6 main + 5–8 supplement.</w:t>
      </w:r>
      <w:r>
        <w:t xml:space="preserve"> </w:t>
      </w:r>
      <w:r>
        <w:rPr>
          <w:b/>
        </w:rPr>
        <w:t>Tables: 3 main + 2 supplement.</w:t>
      </w:r>
    </w:p>
    <w:p>
      <w:pPr>
        <w:spacing w:before="120" w:after="120"/>
      </w:pPr>
      <w:r>
        <w:rPr>
          <w:color w:val="BBBBBB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Reference list</w:t>
      </w:r>
    </w:p>
    <w:p>
      <w:r>
        <w:t xml:space="preserve">Managed in Zotero / Mendeley / manual. Anchor references (see </w:t>
      </w:r>
      <w:r>
        <w:rPr>
          <w:color w:val="1F4E79"/>
          <w:u w:val="single"/>
        </w:rPr>
        <w:t>`index.md § Cross-tier paper-citation matrix`</w:t>
      </w:r>
      <w:r>
        <w:t>):</w:t>
      </w:r>
    </w:p>
    <w:p>
      <w:pPr>
        <w:pStyle w:val="ListBullet"/>
      </w:pPr>
      <w:r>
        <w:rPr>
          <w:b/>
        </w:rPr>
        <w:t>Bey 2024</w:t>
      </w:r>
      <w:r>
        <w:t xml:space="preserve"> (LeAPP) — </w:t>
      </w:r>
      <w:r>
        <w:rPr>
          <w:i/>
        </w:rPr>
        <w:t>Human Brain Mapping</w:t>
      </w:r>
      <w:r>
        <w:t xml:space="preserve"> </w:t>
      </w:r>
      <w:r>
        <w:rPr>
          <w:color w:val="1F4E79"/>
          <w:u w:val="single"/>
        </w:rPr>
        <w:t>10.1002/hbm.26701</w:t>
      </w:r>
    </w:p>
    <w:p>
      <w:pPr>
        <w:pStyle w:val="ListBullet"/>
      </w:pPr>
      <w:r>
        <w:rPr>
          <w:b/>
        </w:rPr>
        <w:t>Radwan 2020</w:t>
      </w:r>
      <w:r>
        <w:t xml:space="preserve"> (Virtual Brain Grafting / VBG) — </w:t>
      </w:r>
      <w:r>
        <w:rPr>
          <w:i/>
        </w:rPr>
        <w:t>Human Brain Mapping</w:t>
      </w:r>
    </w:p>
    <w:p>
      <w:pPr>
        <w:pStyle w:val="ListBullet"/>
      </w:pPr>
      <w:r>
        <w:rPr>
          <w:b/>
        </w:rPr>
        <w:t>Radwan 2023</w:t>
      </w:r>
      <w:r>
        <w:t xml:space="preserve"> — TBI + VBG + ACT — </w:t>
      </w:r>
      <w:r>
        <w:rPr>
          <w:i/>
        </w:rPr>
        <w:t>Network Neuroscience</w:t>
      </w:r>
      <w:r>
        <w:t xml:space="preserve"> </w:t>
      </w:r>
      <w:r>
        <w:rPr>
          <w:color w:val="1F4E79"/>
          <w:u w:val="single"/>
        </w:rPr>
        <w:t>10.1162/netn_a_00277</w:t>
      </w:r>
    </w:p>
    <w:p>
      <w:pPr>
        <w:pStyle w:val="ListBullet"/>
      </w:pPr>
      <w:r>
        <w:rPr>
          <w:b/>
        </w:rPr>
        <w:t>Smith 2012</w:t>
      </w:r>
      <w:r>
        <w:t xml:space="preserve"> — ACT foundation — </w:t>
      </w:r>
      <w:r>
        <w:rPr>
          <w:i/>
        </w:rPr>
        <w:t>NeuroImage</w:t>
      </w:r>
    </w:p>
    <w:p>
      <w:pPr>
        <w:pStyle w:val="ListBullet"/>
      </w:pPr>
      <w:r>
        <w:rPr>
          <w:b/>
        </w:rPr>
        <w:t>Pollak 2025</w:t>
      </w:r>
      <w:r>
        <w:t xml:space="preserve"> — neuroLIT DDPM inpainting — </w:t>
      </w:r>
      <w:r>
        <w:rPr>
          <w:i/>
        </w:rPr>
        <w:t>Imaging Neuroscience</w:t>
      </w:r>
      <w:r>
        <w:t xml:space="preserve"> </w:t>
      </w:r>
      <w:r>
        <w:rPr>
          <w:color w:val="1F4E79"/>
          <w:u w:val="single"/>
        </w:rPr>
        <w:t>10.1162/imag_a_00446</w:t>
      </w:r>
    </w:p>
    <w:p>
      <w:pPr>
        <w:pStyle w:val="ListBullet"/>
      </w:pPr>
      <w:r>
        <w:rPr>
          <w:b/>
        </w:rPr>
        <w:t>Palacios 2022</w:t>
      </w:r>
      <w:r>
        <w:t xml:space="preserve"> — TRACK-TBI multisite DTI — </w:t>
      </w:r>
      <w:r>
        <w:rPr>
          <w:i/>
        </w:rPr>
        <w:t>Journal of Neurotrauma</w:t>
      </w:r>
      <w:r>
        <w:t xml:space="preserve"> </w:t>
      </w:r>
      <w:r>
        <w:rPr>
          <w:color w:val="1F4E79"/>
          <w:u w:val="single"/>
        </w:rPr>
        <w:t>10.1089/neu.2022.0070</w:t>
      </w:r>
    </w:p>
    <w:p>
      <w:pPr>
        <w:pStyle w:val="ListBullet"/>
      </w:pPr>
      <w:r>
        <w:rPr>
          <w:b/>
        </w:rPr>
        <w:t>Warren 2015</w:t>
      </w:r>
      <w:r>
        <w:t xml:space="preserve"> — TBI graph metrics → cognition — </w:t>
      </w:r>
      <w:r>
        <w:rPr>
          <w:i/>
        </w:rPr>
        <w:t>Brain</w:t>
      </w:r>
      <w:r>
        <w:t xml:space="preserve"> </w:t>
      </w:r>
      <w:r>
        <w:rPr>
          <w:color w:val="1F4E79"/>
          <w:u w:val="single"/>
        </w:rPr>
        <w:t>10.1093/brain/awv075</w:t>
      </w:r>
    </w:p>
    <w:p>
      <w:pPr>
        <w:pStyle w:val="ListBullet"/>
      </w:pPr>
      <w:r>
        <w:rPr>
          <w:b/>
        </w:rPr>
        <w:t>Cieslak 2021</w:t>
      </w:r>
      <w:r>
        <w:t xml:space="preserve"> — QSIPrep</w:t>
      </w:r>
    </w:p>
    <w:p>
      <w:pPr>
        <w:pStyle w:val="ListBullet"/>
      </w:pPr>
      <w:r>
        <w:rPr>
          <w:b/>
        </w:rPr>
        <w:t>Tournier 2019</w:t>
      </w:r>
      <w:r>
        <w:t xml:space="preserve"> — MRtrix3</w:t>
      </w:r>
    </w:p>
    <w:p>
      <w:pPr>
        <w:pStyle w:val="ListBullet"/>
      </w:pPr>
      <w:r>
        <w:rPr>
          <w:b/>
        </w:rPr>
        <w:t>Fischl 2012</w:t>
      </w:r>
      <w:r>
        <w:t xml:space="preserve"> — FreeSurfer</w:t>
      </w:r>
    </w:p>
    <w:p>
      <w:pPr>
        <w:pStyle w:val="ListBullet"/>
      </w:pPr>
      <w:r>
        <w:rPr>
          <w:b/>
        </w:rPr>
        <w:t>Henschel 2020</w:t>
      </w:r>
      <w:r>
        <w:t xml:space="preserve"> — FastSurfer</w:t>
      </w:r>
    </w:p>
    <w:p>
      <w:pPr>
        <w:pStyle w:val="ListBullet"/>
      </w:pPr>
      <w:r>
        <w:rPr>
          <w:b/>
        </w:rPr>
        <w:t>Andersson &amp; Sotiropoulos 2016</w:t>
      </w:r>
      <w:r>
        <w:t xml:space="preserve"> — FSL EDDY</w:t>
      </w:r>
    </w:p>
    <w:p>
      <w:pPr>
        <w:pStyle w:val="ListBullet"/>
      </w:pPr>
      <w:r>
        <w:rPr>
          <w:b/>
        </w:rPr>
        <w:t>Yeh 2018</w:t>
      </w:r>
      <w:r>
        <w:t xml:space="preserve"> — HCP-842 tractogram (if using LQT as sensitivity)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