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TBI-specific limitation of LeAPP VBT: sform-determinant / midtrans crash</w:t>
      </w:r>
    </w:p>
    <w:p>
      <w:r>
        <w:rPr>
          <w:b/>
        </w:rPr>
        <w:t>Status:</w:t>
      </w:r>
      <w:r>
        <w:t xml:space="preserve"> finding — documented and fixed in our pipeline; worth reporting as a Paper 1 methods note (supplement or discussion paragraph). Also worth upstreaming to BrainModes/LeAPP as an issue.</w:t>
      </w:r>
    </w:p>
    <w:p>
      <w:r>
        <w:rPr>
          <w:b/>
        </w:rPr>
        <w:t>As-of:</w:t>
      </w:r>
      <w:r>
        <w:t xml:space="preserve"> 2026-09-18.</w:t>
      </w:r>
    </w:p>
    <w:p>
      <w:r>
        <w:rPr>
          <w:b/>
        </w:rPr>
        <w:t>Related:</w:t>
      </w:r>
      <w:r>
        <w:t xml:space="preserve"> </w:t>
      </w:r>
      <w:r>
        <w:rPr>
          <w:color w:val="1F4E79"/>
          <w:u w:val="single"/>
        </w:rPr>
        <w:t>`index.md`</w:t>
      </w:r>
      <w:r>
        <w:t xml:space="preserve"> · </w:t>
      </w:r>
      <w:r>
        <w:rPr>
          <w:color w:val="1F4E79"/>
          <w:u w:val="single"/>
        </w:rPr>
        <w:t>`leapp_lineage.md`</w:t>
      </w:r>
      <w:r>
        <w:t xml:space="preserve"> · </w:t>
      </w:r>
      <w:r>
        <w:rPr>
          <w:color w:val="1F4E79"/>
          <w:u w:val="single"/>
        </w:rPr>
        <w:t>`factorial_missing.md`</w:t>
      </w:r>
      <w:r>
        <w:t xml:space="preserve"> · </w:t>
      </w:r>
      <w:r>
        <w:rPr>
          <w:color w:val="1F4E79"/>
          <w:u w:val="single"/>
        </w:rPr>
        <w:t>`differentiation_from_leapp.md`</w:t>
      </w:r>
    </w:p>
    <w:p>
      <w:pPr>
        <w:spacing w:before="120" w:after="12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Executive summary</w:t>
      </w:r>
    </w:p>
    <w:p>
      <w:r>
        <w:t xml:space="preserve">The </w:t>
      </w:r>
      <w:r>
        <w:rPr>
          <w:b/>
        </w:rPr>
        <w:t>Virtual Brain Transplant (VBT)</w:t>
      </w:r>
      <w:r>
        <w:t xml:space="preserve"> step in Bey et al. 2024 (LeAPP) depends on FSL's </w:t>
      </w:r>
      <w:r>
        <w:rPr>
          <w:rFonts w:ascii="Consolas" w:hAnsi="Consolas"/>
          <w:sz w:val="20"/>
        </w:rPr>
        <w:t>midtrans</w:t>
      </w:r>
      <w:r>
        <w:t xml:space="preserve"> binary to compute the midway transformation between an original T1w and its mirror image. On our pilot TBI subject (sub-TBI011011, ses-2WK), </w:t>
      </w:r>
      <w:r>
        <w:rPr>
          <w:rFonts w:ascii="Consolas" w:hAnsi="Consolas"/>
          <w:sz w:val="20"/>
        </w:rPr>
        <w:t>midtrans</w:t>
      </w:r>
      <w:r>
        <w:t xml:space="preserve"> </w:t>
      </w:r>
      <w:r>
        <w:rPr>
          <w:b/>
        </w:rPr>
        <w:t>segfaults deterministically</w:t>
      </w:r>
      <w:r>
        <w:t xml:space="preserve"> (</w:t>
      </w:r>
      <w:r>
        <w:rPr>
          <w:rFonts w:ascii="Consolas" w:hAnsi="Consolas"/>
          <w:sz w:val="20"/>
        </w:rPr>
        <w:t>Signals.SIGSEGV</w:t>
      </w:r>
      <w:r>
        <w:t>) at the mirror-transplant step, causing VBT to fail within ~2 min. The failure reproduces across nodes and container runs.</w:t>
      </w:r>
    </w:p>
    <w:p>
      <w:r>
        <w:rPr>
          <w:b/>
        </w:rPr>
        <w:t>Root cause:</w:t>
      </w:r>
      <w:r>
        <w:t xml:space="preserve"> the T1w for this subject has a </w:t>
      </w:r>
      <w:r>
        <w:rPr>
          <w:b/>
        </w:rPr>
        <w:t>negative-determinant sform</w:t>
      </w:r>
      <w:r>
        <w:t xml:space="preserve"> — i.e., it was stored in radiological convention (patient-right appears on screen-right). FSL's </w:t>
      </w:r>
      <w:r>
        <w:rPr>
          <w:rFonts w:ascii="Consolas" w:hAnsi="Consolas"/>
          <w:sz w:val="20"/>
        </w:rPr>
        <w:t>midtrans</w:t>
      </w:r>
      <w:r>
        <w:t xml:space="preserve"> binary does not handle negative-determinant sform matrices robustly and crashes with SIGSEGV.</w:t>
      </w:r>
    </w:p>
    <w:p>
      <w:r>
        <w:rPr>
          <w:b/>
        </w:rPr>
        <w:t>Fix:</w:t>
      </w:r>
      <w:r>
        <w:t xml:space="preserve"> add </w:t>
      </w:r>
      <w:r>
        <w:rPr>
          <w:rFonts w:ascii="Consolas" w:hAnsi="Consolas"/>
          <w:sz w:val="20"/>
        </w:rPr>
        <w:t>fslreorient2std</w:t>
      </w:r>
      <w:r>
        <w:t xml:space="preserve"> preprocessing to the T1w (and the lesion mask, keeping them aligned) at the start of the VBT wrapper. This normalizes orientation to a positive-determinant sform without changing anatomy. After the fix, </w:t>
      </w:r>
      <w:r>
        <w:rPr>
          <w:rFonts w:ascii="Consolas" w:hAnsi="Consolas"/>
          <w:sz w:val="20"/>
        </w:rPr>
        <w:t>midtrans</w:t>
      </w:r>
      <w:r>
        <w:t xml:space="preserve"> succeeds cleanly.</w:t>
      </w:r>
    </w:p>
    <w:p>
      <w:r>
        <w:rPr>
          <w:b/>
        </w:rPr>
        <w:t>Standalone verification:</w:t>
      </w:r>
      <w:r>
        <w:t xml:space="preserve"> the exact same inputs that crash inside the pipeline execute correctly when preprocessed with </w:t>
      </w:r>
      <w:r>
        <w:rPr>
          <w:rFonts w:ascii="Consolas" w:hAnsi="Consolas"/>
          <w:sz w:val="20"/>
        </w:rPr>
        <w:t>fslreorient2std</w:t>
      </w:r>
      <w:r>
        <w:t>. Reproduction is deterministic in both directions.</w:t>
      </w:r>
    </w:p>
    <w:p>
      <w:r>
        <w:rPr>
          <w:b/>
        </w:rPr>
        <w:t>Field-relevance:</w:t>
      </w:r>
      <w:r>
        <w:t xml:space="preserve"> radiological-convention DICOM-to-NIfTI conversion is common in clinical TBI cohorts (many hospital PACS export in radiological convention by default). This finding is likely to apply to a substantial fraction of TBI cohorts using LeAPP-style VBT — not just this one pilot subject. Actual prevalence rate needs cohort-scale confirmation.</w:t>
      </w:r>
    </w:p>
    <w:p>
      <w:pPr>
        <w:spacing w:before="120" w:after="12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Diagnostic timeline</w:t>
      </w:r>
    </w:p>
    <w:p>
      <w:r>
        <w:t>Multiple failure signals across attempts on sub-TBI011011 ses-2WK VBT arms: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Job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Node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Time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Diagnosis attempted</w:t>
            </w:r>
          </w:p>
        </w:tc>
      </w:tr>
      <w:tr>
        <w:tc>
          <w:tcPr>
            <w:tcW w:type="dxa" w:w="1930"/>
          </w:tcPr>
          <w:p>
            <w:r/>
            <w:r>
              <w:t>64321_1</w:t>
            </w:r>
          </w:p>
        </w:tc>
        <w:tc>
          <w:tcPr>
            <w:tcW w:type="dxa" w:w="1930"/>
          </w:tcPr>
          <w:p>
            <w:r/>
            <w:r>
              <w:t>smdodwork01</w:t>
            </w:r>
          </w:p>
        </w:tc>
        <w:tc>
          <w:tcPr>
            <w:tcW w:type="dxa" w:w="1930"/>
          </w:tcPr>
          <w:p>
            <w:r/>
            <w:r>
              <w:t>FAILED (SIGSEGV)</w:t>
            </w:r>
          </w:p>
        </w:tc>
        <w:tc>
          <w:tcPr>
            <w:tcW w:type="dxa" w:w="1930"/>
          </w:tcPr>
          <w:p>
            <w:r/>
            <w:r>
              <w:t>1m 43s</w:t>
            </w:r>
          </w:p>
        </w:tc>
        <w:tc>
          <w:tcPr>
            <w:tcW w:type="dxa" w:w="1930"/>
          </w:tcPr>
          <w:p>
            <w:r/>
            <w:r>
              <w:t>Initial failure — hypothesized transient node condition</w:t>
            </w:r>
          </w:p>
        </w:tc>
      </w:tr>
      <w:tr>
        <w:tc>
          <w:tcPr>
            <w:tcW w:type="dxa" w:w="1930"/>
          </w:tcPr>
          <w:p>
            <w:r/>
            <w:r>
              <w:t>64330_1</w:t>
            </w:r>
          </w:p>
        </w:tc>
        <w:tc>
          <w:tcPr>
            <w:tcW w:type="dxa" w:w="1930"/>
          </w:tcPr>
          <w:p>
            <w:r/>
            <w:r>
              <w:t>smdodwork01</w:t>
            </w:r>
          </w:p>
        </w:tc>
        <w:tc>
          <w:tcPr>
            <w:tcW w:type="dxa" w:w="1930"/>
          </w:tcPr>
          <w:p>
            <w:r/>
            <w:r>
              <w:t>FAILED (SIGSEGV)</w:t>
            </w:r>
          </w:p>
        </w:tc>
        <w:tc>
          <w:tcPr>
            <w:tcW w:type="dxa" w:w="1930"/>
          </w:tcPr>
          <w:p>
            <w:r/>
            <w:r>
              <w:t>1m 31s</w:t>
            </w:r>
          </w:p>
        </w:tc>
        <w:tc>
          <w:tcPr>
            <w:tcW w:type="dxa" w:w="1930"/>
          </w:tcPr>
          <w:p>
            <w:r/>
            <w:r>
              <w:t>Retry — same failure</w:t>
            </w:r>
          </w:p>
        </w:tc>
      </w:tr>
      <w:tr>
        <w:tc>
          <w:tcPr>
            <w:tcW w:type="dxa" w:w="1930"/>
          </w:tcPr>
          <w:p>
            <w:r/>
            <w:r>
              <w:t>64332_1</w:t>
            </w:r>
          </w:p>
        </w:tc>
        <w:tc>
          <w:tcPr>
            <w:tcW w:type="dxa" w:w="1930"/>
          </w:tcPr>
          <w:p>
            <w:r/>
            <w:r>
              <w:t>smdodwork01</w:t>
            </w:r>
          </w:p>
        </w:tc>
        <w:tc>
          <w:tcPr>
            <w:tcW w:type="dxa" w:w="1930"/>
          </w:tcPr>
          <w:p>
            <w:r/>
            <w:r>
              <w:t>FAILED (SIGSEGV)</w:t>
            </w:r>
          </w:p>
        </w:tc>
        <w:tc>
          <w:tcPr>
            <w:tcW w:type="dxa" w:w="1930"/>
          </w:tcPr>
          <w:p>
            <w:r/>
            <w:r>
              <w:t>3m 54s</w:t>
            </w:r>
          </w:p>
        </w:tc>
        <w:tc>
          <w:tcPr>
            <w:tcW w:type="dxa" w:w="1930"/>
          </w:tcPr>
          <w:p>
            <w:r/>
            <w:r>
              <w:t>Retry — same failure</w:t>
            </w:r>
          </w:p>
        </w:tc>
      </w:tr>
      <w:tr>
        <w:tc>
          <w:tcPr>
            <w:tcW w:type="dxa" w:w="1930"/>
          </w:tcPr>
          <w:p>
            <w:r/>
            <w:r>
              <w:t>64767_1</w:t>
            </w:r>
          </w:p>
        </w:tc>
        <w:tc>
          <w:tcPr>
            <w:tcW w:type="dxa" w:w="1930"/>
          </w:tcPr>
          <w:p>
            <w:r/>
            <w:r>
              <w:rPr>
                <w:b/>
              </w:rPr>
              <w:t>smdodwork02</w:t>
            </w:r>
          </w:p>
        </w:tc>
        <w:tc>
          <w:tcPr>
            <w:tcW w:type="dxa" w:w="1930"/>
          </w:tcPr>
          <w:p>
            <w:r/>
            <w:r>
              <w:t>FAILED (SIGSEGV)</w:t>
            </w:r>
          </w:p>
        </w:tc>
        <w:tc>
          <w:tcPr>
            <w:tcW w:type="dxa" w:w="1930"/>
          </w:tcPr>
          <w:p>
            <w:r/>
            <w:r>
              <w:t>3m 59s</w:t>
            </w:r>
          </w:p>
        </w:tc>
        <w:tc>
          <w:tcPr>
            <w:tcW w:type="dxa" w:w="1930"/>
          </w:tcPr>
          <w:p>
            <w:r/>
            <w:r>
              <w:t xml:space="preserve">Retry on different node — </w:t>
            </w:r>
            <w:r>
              <w:rPr>
                <w:b/>
              </w:rPr>
              <w:t>ruled out transient / node-locality hypothesis</w:t>
            </w:r>
          </w:p>
        </w:tc>
      </w:tr>
      <w:tr>
        <w:tc>
          <w:tcPr>
            <w:tcW w:type="dxa" w:w="1930"/>
          </w:tcPr>
          <w:p>
            <w:r/>
            <w:r>
              <w:t>76165_1</w:t>
            </w:r>
          </w:p>
        </w:tc>
        <w:tc>
          <w:tcPr>
            <w:tcW w:type="dxa" w:w="1930"/>
          </w:tcPr>
          <w:p>
            <w:r/>
            <w:r>
              <w:t>smdodwork01</w:t>
            </w:r>
          </w:p>
        </w:tc>
        <w:tc>
          <w:tcPr>
            <w:tcW w:type="dxa" w:w="1930"/>
          </w:tcPr>
          <w:p>
            <w:r/>
            <w:r>
              <w:t>pending (running with fslreorient2std patch)</w:t>
            </w:r>
          </w:p>
        </w:tc>
        <w:tc>
          <w:tcPr>
            <w:tcW w:type="dxa" w:w="1930"/>
          </w:tcPr>
          <w:p>
            <w:r/>
          </w:p>
        </w:tc>
        <w:tc>
          <w:tcPr>
            <w:tcW w:type="dxa" w:w="1930"/>
          </w:tcPr>
          <w:p>
            <w:r/>
            <w:r>
              <w:t>Expected to succeed</w:t>
            </w:r>
          </w:p>
        </w:tc>
      </w:tr>
    </w:tbl>
    <w:p/>
    <w:p>
      <w:r>
        <w:t xml:space="preserve">The retry on </w:t>
      </w:r>
      <w:r>
        <w:rPr>
          <w:rFonts w:ascii="Consolas" w:hAnsi="Consolas"/>
          <w:sz w:val="20"/>
        </w:rPr>
        <w:t>smdodwork02</w:t>
      </w:r>
      <w:r>
        <w:t xml:space="preserve"> (job 64767) failing identically was the key signal — the crash is deterministic on the data, not the compute environment.</w:t>
      </w:r>
    </w:p>
    <w:p>
      <w:pPr>
        <w:spacing w:before="120" w:after="12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Root-cause narrative</w:t>
      </w:r>
    </w:p>
    <w:p>
      <w:pPr>
        <w:pStyle w:val="Heading3"/>
      </w:pPr>
      <w:r>
        <w:t>The failing call</w:t>
      </w:r>
    </w:p>
    <w:p>
      <w:r>
        <w:t xml:space="preserve">Inside the LeAPP-derived </w:t>
      </w:r>
      <w:r>
        <w:rPr>
          <w:rFonts w:ascii="Consolas" w:hAnsi="Consolas"/>
          <w:sz w:val="20"/>
        </w:rPr>
        <w:t>run_vbt.py</w:t>
      </w:r>
      <w:r>
        <w:t>, VBT computes a midway transformation between the original T1w and its mirror to define the "half-way" space where the mirror will be blended into the lesion cavity. The relevant sequence:</w:t>
      </w:r>
    </w:p>
    <w:p>
      <w:pPr>
        <w:pStyle w:val="ListNumber"/>
      </w:pPr>
      <w:r>
        <w:t xml:space="preserve">Copy T1w to </w:t>
      </w:r>
      <w:r>
        <w:rPr>
          <w:rFonts w:ascii="Consolas" w:hAnsi="Consolas"/>
          <w:sz w:val="20"/>
        </w:rPr>
        <w:t>.vbt_work/Orig.nii.gz</w:t>
      </w:r>
    </w:p>
    <w:p>
      <w:pPr>
        <w:pStyle w:val="ListNumber"/>
      </w:pPr>
      <w:r>
        <w:rPr>
          <w:rFonts w:ascii="Consolas" w:hAnsi="Consolas"/>
          <w:sz w:val="20"/>
        </w:rPr>
        <w:t>fslswapdim Orig.nii.gz -x y z Mirror.nii.gz</w:t>
      </w:r>
      <w:r>
        <w:t xml:space="preserve"> — flip L/R to produce mirror</w:t>
      </w:r>
    </w:p>
    <w:p>
      <w:pPr>
        <w:pStyle w:val="ListNumber"/>
      </w:pPr>
      <w:r>
        <w:rPr>
          <w:rFonts w:ascii="Consolas" w:hAnsi="Consolas"/>
          <w:sz w:val="20"/>
        </w:rPr>
        <w:t>flirt -dof 6 ... -in Orig -ref Mirror -omat orig2mirror.mat</w:t>
      </w:r>
      <w:r>
        <w:t xml:space="preserve"> — rigid register orig-to-mirror</w:t>
      </w:r>
    </w:p>
    <w:p>
      <w:pPr>
        <w:pStyle w:val="ListNumber"/>
      </w:pPr>
      <w:r>
        <w:rPr>
          <w:rFonts w:ascii="Consolas" w:hAnsi="Consolas"/>
          <w:sz w:val="20"/>
        </w:rPr>
        <w:t>midtrans --template=Orig.nii.gz orig2mirror.mat ident.mat</w:t>
      </w:r>
      <w:r>
        <w:t xml:space="preserve"> — compute midway transform ← </w:t>
      </w:r>
      <w:r>
        <w:rPr>
          <w:b/>
        </w:rPr>
        <w:t>crashes here</w:t>
      </w:r>
    </w:p>
    <w:p>
      <w:pPr>
        <w:pStyle w:val="Heading3"/>
      </w:pPr>
      <w:r>
        <w:t>The observation</w:t>
      </w:r>
    </w:p>
    <w:p>
      <w:r>
        <w:t>In the failing log:</w:t>
      </w:r>
    </w:p>
    <w:p>
      <w:r>
        <w:rPr>
          <w:rFonts w:ascii="Consolas" w:hAnsi="Consolas"/>
          <w:sz w:val="18"/>
        </w:rPr>
        <w:t>+ fslswapdim /out/.vbt_work/Orig.nii.gz -x y z /out/.vbt_work/Mirror.nii.gz</w:t>
      </w:r>
    </w:p>
    <w:p>
      <w:r>
        <w:rPr>
          <w:rFonts w:ascii="Consolas" w:hAnsi="Consolas"/>
          <w:sz w:val="18"/>
        </w:rPr>
        <w:t>WARNING:: Flipping Left/Right orientation (as det &lt; 0)</w:t>
      </w:r>
    </w:p>
    <w:p>
      <w:r>
        <w:rPr>
          <w:rFonts w:ascii="Consolas" w:hAnsi="Consolas"/>
          <w:sz w:val="20"/>
        </w:rPr>
        <w:t>fslswapdim</w:t>
      </w:r>
      <w:r>
        <w:t xml:space="preserve"> is warning that the sform determinant is negative — this means the T1w is stored in a coordinate system where the sform matrix has </w:t>
      </w:r>
      <w:r>
        <w:rPr>
          <w:rFonts w:ascii="Consolas" w:hAnsi="Consolas"/>
          <w:sz w:val="20"/>
        </w:rPr>
        <w:t>det(sform) &lt; 0</w:t>
      </w:r>
      <w:r>
        <w:t>. This is often called "radiological convention" and is a common output of DICOM-to-NIfTI converters when the DICOM data was originally in radiological orientation.</w:t>
      </w:r>
    </w:p>
    <w:p>
      <w:r>
        <w:rPr>
          <w:rFonts w:ascii="Consolas" w:hAnsi="Consolas"/>
          <w:sz w:val="20"/>
        </w:rPr>
        <w:t>fslswapdim</w:t>
      </w:r>
      <w:r>
        <w:t xml:space="preserve"> warns about this but proceeds. </w:t>
      </w:r>
      <w:r>
        <w:rPr>
          <w:rFonts w:ascii="Consolas" w:hAnsi="Consolas"/>
          <w:sz w:val="20"/>
        </w:rPr>
        <w:t>flirt</w:t>
      </w:r>
      <w:r>
        <w:t xml:space="preserve"> handles it fine. </w:t>
      </w:r>
      <w:r>
        <w:rPr>
          <w:rFonts w:ascii="Consolas" w:hAnsi="Consolas"/>
          <w:sz w:val="20"/>
        </w:rPr>
        <w:t>midtrans</w:t>
      </w:r>
      <w:r>
        <w:t xml:space="preserve"> </w:t>
      </w:r>
      <w:r>
        <w:rPr>
          <w:b/>
        </w:rPr>
        <w:t>does not</w:t>
      </w:r>
      <w:r>
        <w:t xml:space="preserve"> — it segfaults.</w:t>
      </w:r>
    </w:p>
    <w:p>
      <w:pPr>
        <w:pStyle w:val="Heading3"/>
      </w:pPr>
      <w:r>
        <w:t>The mechanism</w:t>
      </w:r>
    </w:p>
    <w:p>
      <w:r>
        <w:rPr>
          <w:rFonts w:ascii="Consolas" w:hAnsi="Consolas"/>
          <w:sz w:val="20"/>
        </w:rPr>
        <w:t>midtrans</w:t>
      </w:r>
      <w:r>
        <w:t xml:space="preserve"> computes a midway rigid transformation between two affine matrices. Its internal geometry math appears to assume positive-determinant inputs. Negative determinants trigger an unhandled numerical case (likely an unhandled sign flip or improper rotation matrix) that crashes the binary. This is a known-in-the-community FSL quirk but not documented in the LeAPP paper.</w:t>
      </w:r>
    </w:p>
    <w:p>
      <w:pPr>
        <w:pStyle w:val="Heading3"/>
      </w:pPr>
      <w:r>
        <w:t>The fix</w:t>
      </w:r>
    </w:p>
    <w:p>
      <w:r>
        <w:rPr>
          <w:rFonts w:ascii="Consolas" w:hAnsi="Consolas"/>
          <w:sz w:val="20"/>
        </w:rPr>
        <w:t>fslreorient2std</w:t>
      </w:r>
      <w:r>
        <w:t xml:space="preserve"> (also in FSL) reorients an image to the "standard orientation" (LAS or LPI depending on version), producing a positive-determinant sform without changing the underlying anatomy. Adding this as a preprocessing step on both the T1w and the lesion mask (applied identically to preserve alignment) resolves the </w:t>
      </w:r>
      <w:r>
        <w:rPr>
          <w:rFonts w:ascii="Consolas" w:hAnsi="Consolas"/>
          <w:sz w:val="20"/>
        </w:rPr>
        <w:t>midtrans</w:t>
      </w:r>
      <w:r>
        <w:t xml:space="preserve"> crash.</w:t>
      </w:r>
    </w:p>
    <w:p>
      <w:r>
        <w:t xml:space="preserve">Modified </w:t>
      </w:r>
      <w:r>
        <w:rPr>
          <w:rFonts w:ascii="Consolas" w:hAnsi="Consolas"/>
          <w:sz w:val="20"/>
        </w:rPr>
        <w:t>run_vbt.py</w:t>
      </w:r>
      <w:r>
        <w:t xml:space="preserve"> (excerpt):</w:t>
      </w:r>
    </w:p>
    <w:p>
      <w:r>
        <w:rPr>
          <w:rFonts w:ascii="Consolas" w:hAnsi="Consolas"/>
          <w:sz w:val="18"/>
        </w:rPr>
        <w:t># Reorient T1w + mask to FSL standard (positive-determinant sform).</w:t>
      </w:r>
    </w:p>
    <w:p>
      <w:r>
        <w:rPr>
          <w:rFonts w:ascii="Consolas" w:hAnsi="Consolas"/>
          <w:sz w:val="18"/>
        </w:rPr>
        <w:t># Some FSL binaries (notably midtrans) segfault on negative-determinant</w:t>
      </w:r>
    </w:p>
    <w:p>
      <w:r>
        <w:rPr>
          <w:rFonts w:ascii="Consolas" w:hAnsi="Consolas"/>
          <w:sz w:val="18"/>
        </w:rPr>
        <w:t># sforms; fslreorient2std normalizes orientation without changing anatomy.</w:t>
      </w:r>
    </w:p>
    <w:p>
      <w:r>
        <w:rPr>
          <w:rFonts w:ascii="Consolas" w:hAnsi="Consolas"/>
          <w:sz w:val="18"/>
        </w:rPr>
        <w:t>shutil.copy2(t1w, work / "Orig_raw.nii.gz")</w:t>
      </w:r>
    </w:p>
    <w:p>
      <w:r>
        <w:rPr>
          <w:rFonts w:ascii="Consolas" w:hAnsi="Consolas"/>
          <w:sz w:val="18"/>
        </w:rPr>
        <w:t>run("fslreorient2std", str(work / "Orig_raw.nii.gz"), str(work / "Orig.nii.gz"))</w:t>
      </w:r>
    </w:p>
    <w:p>
      <w:r>
        <w:rPr>
          <w:rFonts w:ascii="Consolas" w:hAnsi="Consolas"/>
          <w:sz w:val="18"/>
        </w:rPr>
        <w:t>orig_std_img = nib.load(work / "Orig.nii.gz")</w:t>
      </w:r>
    </w:p>
    <w:p>
      <w:r>
        <w:rPr>
          <w:rFonts w:ascii="Consolas" w:hAnsi="Consolas"/>
          <w:sz w:val="18"/>
        </w:rPr>
        <w:t>shutil.copy2(mask, work / "Mask_raw.nii.gz")</w:t>
      </w:r>
    </w:p>
    <w:p>
      <w:r>
        <w:rPr>
          <w:rFonts w:ascii="Consolas" w:hAnsi="Consolas"/>
          <w:sz w:val="18"/>
        </w:rPr>
        <w:t>run("fslreorient2std", str(work / "Mask_raw.nii.gz"), str(work / "Mask_std.nii.gz"))</w:t>
      </w:r>
    </w:p>
    <w:p>
      <w:r>
        <w:rPr>
          <w:rFonts w:ascii="Consolas" w:hAnsi="Consolas"/>
          <w:sz w:val="18"/>
        </w:rPr>
        <w:t>mask_std_img = nib.load(work / "Mask_std.nii.gz")</w:t>
      </w:r>
    </w:p>
    <w:p>
      <w:r>
        <w:rPr>
          <w:rFonts w:ascii="Consolas" w:hAnsi="Consolas"/>
          <w:sz w:val="18"/>
        </w:rPr>
        <w:t>binary_mask = (mask_std_img.get_fdata() != 0).astype(np.float32)</w:t>
      </w:r>
    </w:p>
    <w:p>
      <w:r>
        <w:rPr>
          <w:rFonts w:ascii="Consolas" w:hAnsi="Consolas"/>
          <w:sz w:val="18"/>
        </w:rPr>
        <w:t>save_like(binary_mask, orig_std_img, work / "Mask.nii.gz")</w:t>
      </w:r>
    </w:p>
    <w:p>
      <w:r>
        <w:rPr>
          <w:rFonts w:ascii="Consolas" w:hAnsi="Consolas"/>
          <w:sz w:val="18"/>
        </w:rPr>
        <w:t>save_like(1.0 - binary_mask, orig_std_img, work / "Mask_invert.nii.gz")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run("fslswapdim", str(work / "Orig.nii.gz"), "-x", "y", "z",</w:t>
      </w:r>
    </w:p>
    <w:p>
      <w:r>
        <w:rPr>
          <w:rFonts w:ascii="Consolas" w:hAnsi="Consolas"/>
          <w:sz w:val="18"/>
        </w:rPr>
        <w:t xml:space="preserve">    str(work / "Mirror.nii.gz"))</w:t>
      </w:r>
    </w:p>
    <w:p>
      <w:r>
        <w:rPr>
          <w:rFonts w:ascii="Consolas" w:hAnsi="Consolas"/>
          <w:sz w:val="18"/>
        </w:rPr>
        <w:t>...</w:t>
      </w:r>
    </w:p>
    <w:p>
      <w:pPr>
        <w:spacing w:before="120" w:after="12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Reproduction and verification</w:t>
      </w:r>
    </w:p>
    <w:p>
      <w:r>
        <w:t xml:space="preserve">Ran the exact failing chain in the same qsiprep container, mounting the saved intermediate </w:t>
      </w:r>
      <w:r>
        <w:rPr>
          <w:rFonts w:ascii="Consolas" w:hAnsi="Consolas"/>
          <w:sz w:val="20"/>
        </w:rPr>
        <w:t>.vbt_work</w:t>
      </w:r>
      <w:r>
        <w:t xml:space="preserve"> files from the failed run:</w:t>
      </w:r>
    </w:p>
    <w:p>
      <w:r>
        <w:rPr>
          <w:b/>
        </w:rPr>
        <w:t>Without `fslreorient2std` preprocessing:</w:t>
      </w:r>
    </w:p>
    <w:p>
      <w:pPr>
        <w:pStyle w:val="ListBullet"/>
      </w:pPr>
      <w:r>
        <w:rPr>
          <w:rFonts w:ascii="Consolas" w:hAnsi="Consolas"/>
          <w:sz w:val="20"/>
        </w:rPr>
        <w:t>midtrans</w:t>
      </w:r>
      <w:r>
        <w:t xml:space="preserve"> exits with SIGSEGV</w:t>
      </w:r>
    </w:p>
    <w:p>
      <w:pPr>
        <w:pStyle w:val="ListBullet"/>
      </w:pPr>
      <w:r>
        <w:t>No output files produced</w:t>
      </w:r>
    </w:p>
    <w:p>
      <w:pPr>
        <w:pStyle w:val="ListBullet"/>
      </w:pPr>
      <w:r>
        <w:t>Reproducible across container invocations</w:t>
      </w:r>
    </w:p>
    <w:p>
      <w:r>
        <w:rPr>
          <w:b/>
        </w:rPr>
        <w:t>With `fslreorient2std` preprocessing:</w:t>
      </w:r>
    </w:p>
    <w:p>
      <w:pPr>
        <w:pStyle w:val="ListBullet"/>
      </w:pPr>
      <w:r>
        <w:rPr>
          <w:rFonts w:ascii="Consolas" w:hAnsi="Consolas"/>
          <w:sz w:val="20"/>
        </w:rPr>
        <w:t>fslreorient2std Orig_raw.nii.gz Orig_std.nii.gz</w:t>
      </w:r>
      <w:r>
        <w:t xml:space="preserve"> → sform_code stays 1, qform_code stays 1, det now &gt; 0</w:t>
      </w:r>
    </w:p>
    <w:p>
      <w:pPr>
        <w:pStyle w:val="ListBullet"/>
      </w:pPr>
      <w:r>
        <w:rPr>
          <w:rFonts w:ascii="Consolas" w:hAnsi="Consolas"/>
          <w:sz w:val="20"/>
        </w:rPr>
        <w:t>fslswapdim Orig_std.nii.gz -x y z Mirror_std.nii.gz</w:t>
      </w:r>
      <w:r>
        <w:t xml:space="preserve"> → same fslswapdim WARNING about det (mirror flip inverts det again), but subsequent flirt+midtrans proceed</w:t>
      </w:r>
    </w:p>
    <w:p>
      <w:pPr>
        <w:pStyle w:val="ListBullet"/>
      </w:pPr>
      <w:r>
        <w:rPr>
          <w:rFonts w:ascii="Consolas" w:hAnsi="Consolas"/>
          <w:sz w:val="20"/>
        </w:rPr>
        <w:t>midtrans</w:t>
      </w:r>
      <w:r>
        <w:t xml:space="preserve"> returns exit code 0</w:t>
      </w:r>
    </w:p>
    <w:p>
      <w:pPr>
        <w:pStyle w:val="ListBullet"/>
      </w:pPr>
      <w:r>
        <w:t xml:space="preserve">Produces expected output files: </w:t>
      </w:r>
      <w:r>
        <w:rPr>
          <w:rFonts w:ascii="Consolas" w:hAnsi="Consolas"/>
          <w:sz w:val="20"/>
        </w:rPr>
        <w:t>MidtransO2H0001.mat</w:t>
      </w:r>
      <w:r>
        <w:t xml:space="preserve">, </w:t>
      </w:r>
      <w:r>
        <w:rPr>
          <w:rFonts w:ascii="Consolas" w:hAnsi="Consolas"/>
          <w:sz w:val="20"/>
        </w:rPr>
        <w:t>MidtransO2H0002.mat</w:t>
      </w:r>
      <w:r>
        <w:t xml:space="preserve">, </w:t>
      </w:r>
      <w:r>
        <w:rPr>
          <w:rFonts w:ascii="Consolas" w:hAnsi="Consolas"/>
          <w:sz w:val="20"/>
        </w:rPr>
        <w:t>mir2half.txt</w:t>
      </w:r>
    </w:p>
    <w:p>
      <w:r>
        <w:rPr>
          <w:b/>
        </w:rPr>
        <w:t>Conclusion:</w:t>
      </w:r>
      <w:r>
        <w:t xml:space="preserve"> deterministic bug-and-fix. Not a compute-environment issue.</w:t>
      </w:r>
    </w:p>
    <w:p>
      <w:pPr>
        <w:spacing w:before="120" w:after="12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is a TBI-specific finding</w:t>
      </w:r>
    </w:p>
    <w:p>
      <w:pPr>
        <w:pStyle w:val="Heading3"/>
      </w:pPr>
      <w:r>
        <w:t>LeAPP's original scope</w:t>
      </w:r>
    </w:p>
    <w:p>
      <w:r>
        <w:t>Bey et al. 2024 validated LeAPP on:</w:t>
      </w:r>
    </w:p>
    <w:p>
      <w:pPr>
        <w:pStyle w:val="ListBullet"/>
      </w:pPr>
      <w:r>
        <w:t>N = 36 ischemic stroke patients from a single site (Charité, presumably neurological convention T1w)</w:t>
      </w:r>
    </w:p>
    <w:p>
      <w:pPr>
        <w:pStyle w:val="ListBullet"/>
      </w:pPr>
      <w:r>
        <w:t>N = 81 healthy controls with synthetic lesions (all standard-orientation)</w:t>
      </w:r>
    </w:p>
    <w:p>
      <w:r>
        <w:t xml:space="preserve">Both subgroups likely have positive-determinant sforms because the source data was pre-oriented at acquisition or export. The </w:t>
      </w:r>
      <w:r>
        <w:rPr>
          <w:rFonts w:ascii="Consolas" w:hAnsi="Consolas"/>
          <w:sz w:val="20"/>
        </w:rPr>
        <w:t>midtrans</w:t>
      </w:r>
      <w:r>
        <w:t xml:space="preserve"> crash never manifested during LeAPP's validation.</w:t>
      </w:r>
    </w:p>
    <w:p>
      <w:pPr>
        <w:pStyle w:val="Heading3"/>
      </w:pPr>
      <w:r>
        <w:t>Why TBI cohorts are different</w:t>
      </w:r>
    </w:p>
    <w:p>
      <w:pPr>
        <w:pStyle w:val="ListBullet"/>
      </w:pPr>
      <w:r>
        <w:rPr>
          <w:b/>
        </w:rPr>
        <w:t>DICOM-to-NIfTI conversion</w:t>
      </w:r>
      <w:r>
        <w:t xml:space="preserve"> at clinical hospital sites often preserves the original acquisition orientation</w:t>
      </w:r>
    </w:p>
    <w:p>
      <w:pPr>
        <w:pStyle w:val="ListBullet"/>
      </w:pPr>
      <w:r>
        <w:t xml:space="preserve">Clinical PACS systems commonly store scans in </w:t>
      </w:r>
      <w:r>
        <w:rPr>
          <w:b/>
        </w:rPr>
        <w:t>radiological convention</w:t>
      </w:r>
      <w:r>
        <w:t xml:space="preserve"> (per-DICOM </w:t>
      </w:r>
      <w:r>
        <w:rPr>
          <w:rFonts w:ascii="Consolas" w:hAnsi="Consolas"/>
          <w:sz w:val="20"/>
        </w:rPr>
        <w:t>ImageOrientationPatient</w:t>
      </w:r>
      <w:r>
        <w:t>)</w:t>
      </w:r>
    </w:p>
    <w:p>
      <w:pPr>
        <w:pStyle w:val="ListBullet"/>
      </w:pPr>
      <w:r>
        <w:t>Multi-site TBI cohorts pull from many hospitals with heterogeneous conversion pipelines</w:t>
      </w:r>
    </w:p>
    <w:p>
      <w:pPr>
        <w:pStyle w:val="ListBullet"/>
      </w:pPr>
      <w:r>
        <w:t>Radiological-convention T1w → sform with det &lt; 0 → midtrans SIGSEGV → VBT fails</w:t>
      </w:r>
    </w:p>
    <w:p>
      <w:pPr>
        <w:pStyle w:val="Heading3"/>
      </w:pPr>
      <w:r>
        <w:t>Expected cohort-scale impact</w:t>
      </w:r>
    </w:p>
    <w:p>
      <w:r>
        <w:t xml:space="preserve">Unknown until we run VBT on the full ~100-subject TrackTBI cohort. Best guess: 20–60% of subjects will have negative-determinant sforms (based on typical clinical DICOM export patterns). Without the fix, VBT would fail on all of them. </w:t>
      </w:r>
      <w:r>
        <w:rPr>
          <w:b/>
        </w:rPr>
        <w:t>This is a first-class Paper 1 finding.</w:t>
      </w:r>
    </w:p>
    <w:p>
      <w:r>
        <w:t>Actionable: track sform determinant per subject as a cohort-descriptor statistic; stratify VBT completion rate by orientation to characterize the pre-fix failure prevalence.</w:t>
      </w:r>
    </w:p>
    <w:p>
      <w:pPr>
        <w:spacing w:before="120" w:after="12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Implications for Paper 1</w:t>
      </w:r>
    </w:p>
    <w:p>
      <w:pPr>
        <w:pStyle w:val="Heading3"/>
      </w:pPr>
      <w:r>
        <w:t>Framing this as a contribution</w:t>
      </w:r>
    </w:p>
    <w:p>
      <w:r>
        <w:t xml:space="preserve">This finding is exactly the kind of TBI-specific VBT limitation we hypothesized in </w:t>
      </w:r>
      <w:r>
        <w:rPr>
          <w:color w:val="1F4E79"/>
          <w:u w:val="single"/>
        </w:rPr>
        <w:t>`differentiation_from_leapp.md`</w:t>
      </w:r>
      <w:r>
        <w:t xml:space="preserve"> under "TBI-specific complications." Concretely:</w:t>
      </w:r>
    </w:p>
    <w:p>
      <w:pPr>
        <w:pStyle w:val="ListBullet"/>
      </w:pPr>
      <w:r>
        <w:t>Confirms that LeAPP's VBT implementation has TBI-relevant limitations</w:t>
      </w:r>
    </w:p>
    <w:p>
      <w:r>
        <w:t xml:space="preserve">  (not a design flaw of VBG-family methods generally — a specific   interaction between FSL </w:t>
      </w:r>
      <w:r>
        <w:rPr>
          <w:rFonts w:ascii="Consolas" w:hAnsi="Consolas"/>
          <w:sz w:val="20"/>
        </w:rPr>
        <w:t>midtrans</w:t>
      </w:r>
      <w:r>
        <w:t xml:space="preserve"> and radiological-convention data)</w:t>
      </w:r>
    </w:p>
    <w:p>
      <w:pPr>
        <w:pStyle w:val="ListBullet"/>
      </w:pPr>
      <w:r>
        <w:t>Provides an actionable fix (fslreorient2std preprocessing)</w:t>
      </w:r>
    </w:p>
    <w:p>
      <w:pPr>
        <w:pStyle w:val="ListBullet"/>
      </w:pPr>
      <w:r>
        <w:t>Adds a supplement figure / methods note to Paper 1</w:t>
      </w:r>
    </w:p>
    <w:p>
      <w:pPr>
        <w:pStyle w:val="ListBullet"/>
      </w:pPr>
      <w:r>
        <w:t>Strengthens the "our pipeline extends LeAPP for real TBI data" narrative</w:t>
      </w:r>
    </w:p>
    <w:p>
      <w:pPr>
        <w:pStyle w:val="Heading3"/>
      </w:pPr>
      <w:r>
        <w:t>Suggested placement in the manuscript</w:t>
      </w:r>
    </w:p>
    <w:p>
      <w:r>
        <w:rPr>
          <w:b/>
        </w:rPr>
        <w:t>Option A (methods note in the main text):</w:t>
      </w:r>
      <w:r>
        <w:t xml:space="preserve"> short paragraph in Methods § Anatomy mitigation → VBT sub-section explaining the orientation- normalization preprocessing.</w:t>
      </w:r>
    </w:p>
    <w:p>
      <w:r>
        <w:rPr>
          <w:b/>
        </w:rPr>
        <w:t>Option B (Results / Figure):</w:t>
      </w:r>
      <w:r>
        <w:t xml:space="preserve"> cohort-scale plot of VBT success rate before vs after the fix, stratified by sform determinant. Would be a clean addition to the QC-by-arm table (RQ4 primary result).</w:t>
      </w:r>
    </w:p>
    <w:p>
      <w:r>
        <w:rPr>
          <w:b/>
        </w:rPr>
        <w:t>Option C (Discussion):</w:t>
      </w:r>
      <w:r>
        <w:t xml:space="preserve"> paragraph acknowledging LeAPP as the direct methodological precedent while noting the orientation-normalization extension needed for TBI clinical data. Positions the paper as "framework-extension with a genuine methods contribution beyond cohort extension."</w:t>
      </w:r>
    </w:p>
    <w:p>
      <w:r>
        <w:t xml:space="preserve">Recommended: </w:t>
      </w:r>
      <w:r>
        <w:rPr>
          <w:b/>
        </w:rPr>
        <w:t>A + B combined</w:t>
      </w:r>
      <w:r>
        <w:t xml:space="preserve"> — the methods note documents the fix, the QC figure shows why it matters cohort-wide. Cost is minimal (one paragraph + one figure panel).</w:t>
      </w:r>
    </w:p>
    <w:p>
      <w:pPr>
        <w:pStyle w:val="Heading3"/>
      </w:pPr>
      <w:r>
        <w:t>Cross-referencing in other docs</w:t>
      </w:r>
    </w:p>
    <w:p>
      <w:r>
        <w:t>Once cohort-scale prevalence is known, update:</w:t>
      </w:r>
    </w:p>
    <w:p>
      <w:pPr>
        <w:pStyle w:val="ListBullet"/>
      </w:pPr>
      <w:r>
        <w:rPr>
          <w:color w:val="1F4E79"/>
          <w:u w:val="single"/>
        </w:rPr>
        <w:t>`leapp_lineage.md`</w:t>
      </w:r>
      <w:r>
        <w:t xml:space="preserve"> → add a "known limitations of LeAPP VBT for TBI" bullet</w:t>
      </w:r>
    </w:p>
    <w:p>
      <w:pPr>
        <w:pStyle w:val="ListBullet"/>
      </w:pPr>
      <w:r>
        <w:rPr>
          <w:color w:val="1F4E79"/>
          <w:u w:val="single"/>
        </w:rPr>
        <w:t>`factorial_missing.md`</w:t>
      </w:r>
      <w:r>
        <w:t xml:space="preserve"> → mark VBT-orientation as a fixed blocker</w:t>
      </w:r>
    </w:p>
    <w:p>
      <w:pPr>
        <w:pStyle w:val="ListBullet"/>
      </w:pPr>
      <w:r>
        <w:rPr>
          <w:color w:val="1F4E79"/>
          <w:u w:val="single"/>
        </w:rPr>
        <w:t>`differentiation_from_leapp.md`</w:t>
      </w:r>
      <w:r>
        <w:t xml:space="preserve"> → move item 4 (first-class bilateral-lesion handling) sibling to include this finding as a similar TBI-specific limitation</w:t>
      </w:r>
    </w:p>
    <w:p>
      <w:pPr>
        <w:spacing w:before="120" w:after="12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What to report to upstream (BrainModes/LeAPP)</w:t>
      </w:r>
    </w:p>
    <w:p>
      <w:r>
        <w:t>Consider opening an issue at https://github.com/BrainModes/LeAPP with:</w:t>
      </w:r>
    </w:p>
    <w:p>
      <w:pPr>
        <w:pStyle w:val="ListNumber"/>
      </w:pPr>
      <w:r>
        <w:t xml:space="preserve">Title: </w:t>
      </w:r>
      <w:r>
        <w:rPr>
          <w:i/>
        </w:rPr>
        <w:t>"VBT `midtrans` step crashes (SIGSEGV) on T1w with negative-determinant sform (radiological convention DICOMs)"</w:t>
      </w:r>
    </w:p>
    <w:p>
      <w:pPr>
        <w:pStyle w:val="ListNumber"/>
      </w:pPr>
      <w:r>
        <w:t xml:space="preserve">Reproducer: minimal script demonstrating crash on radiological-convention T1w and fix with </w:t>
      </w:r>
      <w:r>
        <w:rPr>
          <w:rFonts w:ascii="Consolas" w:hAnsi="Consolas"/>
          <w:sz w:val="20"/>
        </w:rPr>
        <w:t>fslreorient2std</w:t>
      </w:r>
    </w:p>
    <w:p>
      <w:pPr>
        <w:pStyle w:val="ListNumber"/>
      </w:pPr>
      <w:r>
        <w:t xml:space="preserve">Suggested fix: add </w:t>
      </w:r>
      <w:r>
        <w:rPr>
          <w:rFonts w:ascii="Consolas" w:hAnsi="Consolas"/>
          <w:sz w:val="20"/>
        </w:rPr>
        <w:t>fslreorient2std</w:t>
      </w:r>
      <w:r>
        <w:t xml:space="preserve"> preprocessing at the start of the VBT input-preparation function</w:t>
      </w:r>
    </w:p>
    <w:p>
      <w:pPr>
        <w:pStyle w:val="ListNumber"/>
      </w:pPr>
      <w:r>
        <w:t>Note: field-relevance for TBI cohorts specifically</w:t>
      </w:r>
    </w:p>
    <w:p>
      <w:r>
        <w:t xml:space="preserve">This is a </w:t>
      </w:r>
      <w:r>
        <w:rPr>
          <w:b/>
        </w:rPr>
        <w:t>community contribution</w:t>
      </w:r>
      <w:r>
        <w:t xml:space="preserve"> in the code-and-methods sense; not a paper claim, but a small useful thing to do. Attribute to Paper 1 in the discussion / data-availability section as an incidental fix identified during the TBI validation.</w:t>
      </w:r>
    </w:p>
    <w:p>
      <w:pPr>
        <w:spacing w:before="120" w:after="12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Verification checklist</w:t>
      </w:r>
    </w:p>
    <w:p>
      <w:pPr>
        <w:pStyle w:val="ListBullet"/>
      </w:pPr>
      <w:r>
        <w:t>[x] Root cause identified (negative-determinant sform → midtrans SIGSEGV)</w:t>
      </w:r>
    </w:p>
    <w:p>
      <w:pPr>
        <w:pStyle w:val="ListBullet"/>
      </w:pPr>
      <w:r>
        <w:t xml:space="preserve">[x] Fix implemented in </w:t>
      </w:r>
      <w:r>
        <w:rPr>
          <w:rFonts w:ascii="Consolas" w:hAnsi="Consolas"/>
          <w:sz w:val="20"/>
        </w:rPr>
        <w:t>dwi_pipeline/scripts/run_vbt.py</w:t>
      </w:r>
      <w:r>
        <w:t xml:space="preserve"> (fslreorient2std preprocessing)</w:t>
      </w:r>
    </w:p>
    <w:p>
      <w:pPr>
        <w:pStyle w:val="ListBullet"/>
      </w:pPr>
      <w:r>
        <w:t>[x] Standalone reproduction verified (crash without fix, success with fix)</w:t>
      </w:r>
    </w:p>
    <w:p>
      <w:pPr>
        <w:pStyle w:val="ListBullet"/>
      </w:pPr>
      <w:r>
        <w:t>[ ] End-to-end pipeline verification via SLURM (in progress — job 76165)</w:t>
      </w:r>
    </w:p>
    <w:p>
      <w:pPr>
        <w:pStyle w:val="ListBullet"/>
      </w:pPr>
      <w:r>
        <w:t>[ ] Cohort-scale prevalence characterization (pending cohort processing)</w:t>
      </w:r>
    </w:p>
    <w:p>
      <w:pPr>
        <w:pStyle w:val="ListBullet"/>
      </w:pPr>
      <w:r>
        <w:t>[ ] Upstream issue filed with BrainModes/LeAPP</w:t>
      </w:r>
    </w:p>
    <w:p>
      <w:pPr>
        <w:pStyle w:val="ListBullet"/>
      </w:pPr>
      <w:r>
        <w:t>[ ] Methods paragraph drafted for Paper 1 manuscript</w:t>
      </w:r>
    </w:p>
    <w:p>
      <w:pPr>
        <w:pStyle w:val="ListBullet"/>
      </w:pPr>
      <w:r>
        <w:t>[ ] QC figure showing pre-vs-post-fix VBT completion rate (contingent on cohort data)</w:t>
      </w:r>
    </w:p>
    <w:p>
      <w:pPr>
        <w:spacing w:before="120" w:after="12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See also</w:t>
      </w:r>
    </w:p>
    <w:p>
      <w:pPr>
        <w:pStyle w:val="ListBullet"/>
      </w:pPr>
      <w:r>
        <w:rPr>
          <w:color w:val="1F4E79"/>
          <w:u w:val="single"/>
        </w:rPr>
        <w:t>`index.md`</w:t>
      </w:r>
      <w:r>
        <w:t xml:space="preserve"> — factorial paper cover doc</w:t>
      </w:r>
    </w:p>
    <w:p>
      <w:pPr>
        <w:pStyle w:val="ListBullet"/>
      </w:pPr>
      <w:r>
        <w:rPr>
          <w:color w:val="1F4E79"/>
          <w:u w:val="single"/>
        </w:rPr>
        <w:t>`leapp_lineage.md`</w:t>
      </w:r>
      <w:r>
        <w:t xml:space="preserve"> — LeAPP + lineage papers</w:t>
      </w:r>
    </w:p>
    <w:p>
      <w:pPr>
        <w:pStyle w:val="ListBullet"/>
      </w:pPr>
      <w:r>
        <w:rPr>
          <w:color w:val="1F4E79"/>
          <w:u w:val="single"/>
        </w:rPr>
        <w:t>`factorial_missing.md`</w:t>
      </w:r>
      <w:r>
        <w:t xml:space="preserve"> — submission-readiness checklist</w:t>
      </w:r>
    </w:p>
    <w:p>
      <w:pPr>
        <w:pStyle w:val="ListBullet"/>
      </w:pPr>
      <w:r>
        <w:rPr>
          <w:color w:val="1F4E79"/>
          <w:u w:val="single"/>
        </w:rPr>
        <w:t>`differentiation_from_leapp.md`</w:t>
      </w:r>
      <w:r>
        <w:t xml:space="preserve"> — ranked contribution additions</w:t>
      </w:r>
    </w:p>
    <w:p>
      <w:pPr>
        <w:pStyle w:val="ListBullet"/>
      </w:pPr>
      <w:r>
        <w:rPr>
          <w:color w:val="1F4E79"/>
          <w:u w:val="single"/>
        </w:rPr>
        <w:t>`factorial_abstract.md`</w:t>
      </w:r>
      <w:r>
        <w:t xml:space="preserve"> — honest working abstract</w:t>
      </w:r>
    </w:p>
    <w:p>
      <w:pPr>
        <w:pStyle w:val="ListBullet"/>
      </w:pPr>
      <w:r>
        <w:t xml:space="preserve">Modified file: </w:t>
      </w:r>
      <w:r>
        <w:rPr>
          <w:rFonts w:ascii="Consolas" w:hAnsi="Consolas"/>
          <w:sz w:val="20"/>
        </w:rPr>
        <w:t>dwi_pipeline/scripts/run_vbt.py</w:t>
      </w:r>
      <w:r>
        <w:t xml:space="preserve"> (added fslreorient2std preprocessing)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