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Disconnectome paper — honest working abstract</w:t>
      </w:r>
    </w:p>
    <w:p>
      <w:r>
        <w:rPr>
          <w:b/>
        </w:rPr>
        <w:t>Purpose:</w:t>
      </w:r>
      <w:r>
        <w:t xml:space="preserve"> internal working abstract to share with PI and collaborators. Written honestly — reflects what we plan to do, what's contingent on data delivery and execution, and what we deliberately are </w:t>
      </w:r>
      <w:r>
        <w:rPr>
          <w:i/>
        </w:rPr>
        <w:t>not</w:t>
      </w:r>
      <w:r>
        <w:t xml:space="preserve"> claiming. This is not the submission-ready abstract (that comes after results are in and the venue-framing choice is made).</w:t>
      </w:r>
    </w:p>
    <w:p>
      <w:r>
        <w:rPr>
          <w:b/>
        </w:rPr>
        <w:t>Related docs:</w:t>
      </w:r>
      <w:r>
        <w:t xml:space="preserve"> </w:t>
      </w:r>
      <w:r>
        <w:rPr>
          <w:color w:val="1F4E79"/>
          <w:u w:val="single"/>
        </w:rPr>
        <w:t>index.md</w:t>
      </w:r>
      <w:r>
        <w:t xml:space="preserve"> · </w:t>
      </w:r>
      <w:r>
        <w:rPr>
          <w:color w:val="1F4E79"/>
          <w:u w:val="single"/>
        </w:rPr>
        <w:t>disconnectome_missing.md</w:t>
      </w:r>
      <w:r>
        <w:t xml:space="preserve"> · </w:t>
      </w:r>
      <w:r>
        <w:rPr>
          <w:color w:val="1F4E79"/>
          <w:u w:val="single"/>
        </w:rPr>
        <w:t>outcomes_planning.md</w:t>
      </w:r>
      <w:r>
        <w:t xml:space="preserve"> · </w:t>
      </w:r>
      <w:r>
        <w:rPr>
          <w:color w:val="1F4E79"/>
          <w:u w:val="single"/>
        </w:rPr>
        <w:t>analysis_plan.md</w:t>
      </w:r>
      <w:r>
        <w:t xml:space="preserve"> · </w:t>
      </w:r>
      <w:r>
        <w:rPr>
          <w:color w:val="1F4E79"/>
          <w:u w:val="single"/>
        </w:rPr>
        <w:t>../journal_tier.md</w:t>
      </w:r>
      <w:r>
        <w:t xml:space="preserve"> · </w:t>
      </w:r>
      <w:r>
        <w:rPr>
          <w:color w:val="1F4E79"/>
          <w:u w:val="single"/>
        </w:rPr>
        <w:t>../Griffis_later.md</w:t>
      </w:r>
    </w:p>
    <w:p>
      <w:r>
        <w:rPr>
          <w:b/>
        </w:rPr>
        <w:t>Status:</w:t>
      </w:r>
      <w:r>
        <w:t xml:space="preserve"> DRAFT for PI/collaborator review, 2026-09-18. Target: J Neurotrauma / HBM default; Brain / NeuroImage stretch (framing-dependent).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Working titles (venue-dependent)</w:t>
      </w:r>
    </w:p>
    <w:p>
      <w:r>
        <w:rPr>
          <w:b/>
        </w:rPr>
        <w:t>Methods-lead (NeuroImage target):</w:t>
      </w:r>
      <w:r>
        <w:t xml:space="preserve"> </w:t>
      </w:r>
      <w:r>
        <w:rPr>
          <w:i/>
        </w:rPr>
        <w:t>Patient-specific lesion-aware disconnectomes in traumatic brain injury: a head-to-head comparison with normative-atlas approaches and consequences for network-level outcome prediction.</w:t>
      </w:r>
    </w:p>
    <w:p>
      <w:r>
        <w:rPr>
          <w:b/>
        </w:rPr>
        <w:t>Biology-lead (Brain target):</w:t>
      </w:r>
      <w:r>
        <w:t xml:space="preserve"> </w:t>
      </w:r>
      <w:r>
        <w:rPr>
          <w:i/>
        </w:rPr>
        <w:t>Structural disconnection mediates functional network dysfunction and predicts cognitive recovery after traumatic brain injury.</w:t>
      </w:r>
    </w:p>
    <w:p>
      <w:r>
        <w:rPr>
          <w:b/>
        </w:rPr>
        <w:t>Default (HBM / J Neurotrauma):</w:t>
      </w:r>
      <w:r>
        <w:t xml:space="preserve"> </w:t>
      </w:r>
      <w:r>
        <w:rPr>
          <w:i/>
        </w:rPr>
        <w:t>Lesion-aware structural disconnection and outcome after traumatic brain injury: a disconnectome study.</w:t>
      </w:r>
    </w:p>
    <w:p>
      <w:r>
        <w:t>The paper's central claim depends on which contribution turns out quantitatively stronger; framing decision is post-analysis.</w:t>
      </w:r>
    </w:p>
    <w:p>
      <w:pPr>
        <w:pStyle w:val="Heading2"/>
      </w:pPr>
      <w:r>
        <w:t>Honest abstract (~300 words)</w:t>
      </w:r>
    </w:p>
    <w:p>
      <w:r>
        <w:rPr>
          <w:b/>
        </w:rPr>
        <w:t>Background.</w:t>
      </w:r>
      <w:r>
        <w:t xml:space="preserve"> Structural disconnection (SDC) — the loss of long-range white-matter connectivity caused by focal lesions — mediates widespread functional network dysfunction and cognitive deficits after ischemic stroke (Griffis et al. 2019, </w:t>
      </w:r>
      <w:r>
        <w:rPr>
          <w:i/>
        </w:rPr>
        <w:t>Cell Reports</w:t>
      </w:r>
      <w:r>
        <w:t>). Whether the same mechanism generalizes to traumatic brain injury, where lesion morphology is heterogeneous (contusion, oedema, hemorrhage, bilateral injury), is unknown. Current widely-used SDC pipelines (LQT: Griffis 2021; BCBtoolkit: Foulon 2018) overlay lesion masks on normative white-matter atlases and assume that individual patient anatomy conforms to a healthy template — an assumption strained in TBI's more distorted anatomy.</w:t>
      </w:r>
    </w:p>
    <w:p>
      <w:r>
        <w:rPr>
          <w:b/>
        </w:rPr>
        <w:t>Question.</w:t>
      </w:r>
      <w:r>
        <w:t xml:space="preserve"> In TBI, does patient-specific lesion-aware structural disconnection — computed on individual DWI with anatomically-constrained tractography, using our containerized pipeline — differ systematically from normative-atlas SDC? Does the difference carry clinical signal for functional-connectivity disruption and 6-month cognitive-behavioral outcome?</w:t>
      </w:r>
    </w:p>
    <w:p>
      <w:r>
        <w:rPr>
          <w:b/>
        </w:rPr>
        <w:t>Approach.</w:t>
      </w:r>
      <w:r>
        <w:t xml:space="preserve"> On a TrackTBI subset (target N ≥ 45 complete cases with lesion masks + DWI + rs-fMRI + clinical outcomes), we compute per-subject SDC using three approaches: patient-specific lesion-aware tractography (this pipeline), LQT normative-atlas SDC, and BCBtoolkit voxel-level disconnection. Resting-state functional connectivity is derived via fMRIPrep + XCP-D, producing FC matrices in multiple atlases (DKT subject-native, 4S 156, Schaefer 200, Gordon 333, HCP-MMP). We test (a) canonical correlation between SDC and FC-abnormality, (b) SDC and FC combined as predictors of 6-month Glasgow Outcome Scale-Extended with incremental validity above lesion volume, and (c) domain-specific network mapping to neuropsychological composites.</w:t>
      </w:r>
    </w:p>
    <w:p>
      <w:r>
        <w:rPr>
          <w:b/>
        </w:rPr>
        <w:t>Anticipated findings (results-dependent).</w:t>
      </w:r>
      <w:r>
        <w:t xml:space="preserve"> We expect patient-specific SDC to diverge from normative-atlas SDC in subjects with high mass effect, oedema, or bilateral injury, and for the divergence to carry downstream signal. Whether the divergence is large enough to justify methods-lead framing (NeuroImage) versus biology-lead framing (Brain) depends on the magnitude of the head-to-head result.</w:t>
      </w:r>
    </w:p>
    <w:p>
      <w:r>
        <w:rPr>
          <w:b/>
        </w:rPr>
        <w:t>Interpretation caveats.</w:t>
      </w:r>
      <w:r>
        <w:t xml:space="preserve"> Results depend on TRACK-TBI clinical export availability (external gate), complete-case N, and the strength of the SC → FC coupling in the TBI cohort. If neuropsych battery is limited to GOSE alone, the domain-specific mapping story shrinks and the venue ceiling drops from Brain to HBM. If patient-specific and normative-atlas SDC agree closely, the methods contribution shrinks and the paper leads biology-only.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 xml:space="preserve">What this paper </w:t>
      </w:r>
      <w:r>
        <w:rPr>
          <w:i/>
        </w:rPr>
        <w:t>is</w:t>
      </w:r>
    </w:p>
    <w:p>
      <w:pPr>
        <w:pStyle w:val="ListBullet"/>
      </w:pPr>
      <w:r>
        <w:t>A cohort-scale test of whether Griffis 2019's SC → FC → behavior chain generalizes from stroke to TBI</w:t>
      </w:r>
    </w:p>
    <w:p>
      <w:pPr>
        <w:pStyle w:val="ListBullet"/>
      </w:pPr>
      <w:r>
        <w:t>The first systematic head-to-head of patient-specific lesion-aware SDC vs normative-atlas SDC (LQT, BCBtoolkit) at cohort scale in any patient population</w:t>
      </w:r>
    </w:p>
    <w:p>
      <w:pPr>
        <w:pStyle w:val="ListBullet"/>
      </w:pPr>
      <w:r>
        <w:t>A clinical-utility test: does disconnection-based imaging improve outcome prediction beyond lesion volume?</w:t>
      </w:r>
    </w:p>
    <w:p>
      <w:pPr>
        <w:pStyle w:val="ListBullet"/>
      </w:pPr>
      <w:r>
        <w:t>Distributable + reproducible: containerized SC pipeline + fMRI pipeline + per-step provenance JSON</w:t>
      </w:r>
    </w:p>
    <w:p>
      <w:pPr>
        <w:pStyle w:val="Heading2"/>
      </w:pPr>
      <w:r>
        <w:t xml:space="preserve">What this paper </w:t>
      </w:r>
      <w:r>
        <w:rPr>
          <w:i/>
        </w:rPr>
        <w:t>is not</w:t>
      </w:r>
    </w:p>
    <w:p>
      <w:pPr>
        <w:pStyle w:val="ListBullet"/>
      </w:pPr>
      <w:r>
        <w:t>Not a discovery of new brain networks or new disconnection mechanisms — the framework is Griffis 2019's, we extend it</w:t>
      </w:r>
    </w:p>
    <w:p>
      <w:pPr>
        <w:pStyle w:val="ListBullet"/>
      </w:pPr>
      <w:r>
        <w:t>Not a new SDC technique — patient-specific lesion-aware ACT was established by Bey 2024 LeAPP; we adopt and evaluate</w:t>
      </w:r>
    </w:p>
    <w:p>
      <w:pPr>
        <w:pStyle w:val="ListBullet"/>
      </w:pPr>
      <w:r>
        <w:t>Not a normative-atlas SDC tool — LQT and BCBtoolkit are the field standards; we use them as comparators</w:t>
      </w:r>
    </w:p>
    <w:p>
      <w:pPr>
        <w:pStyle w:val="ListBullet"/>
      </w:pPr>
      <w:r>
        <w:t>Not a factorial methods paper — that's Paper 1</w:t>
      </w:r>
    </w:p>
    <w:p>
      <w:pPr>
        <w:pStyle w:val="ListBullet"/>
      </w:pPr>
      <w:r>
        <w:t>Not a Nature-tier finding without the ingredients we deliberately do not chase (external replication cohort, N ≥ 500)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Contingencies acknowledged for PI / collaborator review</w:t>
      </w:r>
    </w:p>
    <w:p>
      <w:pPr>
        <w:pStyle w:val="ListNumber"/>
      </w:pPr>
      <w:r>
        <w:rPr>
          <w:b/>
        </w:rPr>
        <w:t>TRACK-TBI clinical export availability</w:t>
      </w:r>
      <w:r>
        <w:t xml:space="preserve"> — this is the external gate. Without GOSE + covariates on the lesion-mask subjects, Paper 2 cannot proceed as standalone. Fold into Paper 1 as one figure if unavailable.</w:t>
      </w:r>
    </w:p>
    <w:p>
      <w:pPr>
        <w:pStyle w:val="ListNumber"/>
      </w:pPr>
      <w:r>
        <w:rPr>
          <w:b/>
        </w:rPr>
        <w:t>Neuropsych battery breadth</w:t>
      </w:r>
      <w:r>
        <w:t xml:space="preserve"> — GOSE alone caps ceiling at HBM / J Neurotrauma; a multi-domain battery (Trail Making, WAIS PSI, CVLT-II, BVMT-R, COWA) unlocks Brain-tier via domain-specific network mapping.</w:t>
      </w:r>
    </w:p>
    <w:p>
      <w:pPr>
        <w:pStyle w:val="ListNumber"/>
      </w:pPr>
      <w:r>
        <w:rPr>
          <w:b/>
        </w:rPr>
        <w:t>rs-fMRI coverage</w:t>
      </w:r>
      <w:r>
        <w:t xml:space="preserve"> — verified on pilot subject; cohort-wide coverage assumed but not yet audited. If &lt; 50% coverage, the SC → FC middle layer weakens.</w:t>
      </w:r>
    </w:p>
    <w:p>
      <w:pPr>
        <w:pStyle w:val="ListNumber"/>
      </w:pPr>
      <w:r>
        <w:rPr>
          <w:b/>
        </w:rPr>
        <w:t>Complete-case N thresholds</w:t>
      </w:r>
      <w:r>
        <w:t xml:space="preserve"> — pre-specified:</w:t>
      </w:r>
    </w:p>
    <w:p>
      <w:pPr>
        <w:pStyle w:val="ListBullet"/>
      </w:pPr>
      <w:r>
        <w:t>N ≥ 45: proceed as standalone Paper 2</w:t>
      </w:r>
    </w:p>
    <w:p>
      <w:pPr>
        <w:pStyle w:val="ListBullet"/>
      </w:pPr>
      <w:r>
        <w:t>N = 30–44: proceed with limitations framing</w:t>
      </w:r>
    </w:p>
    <w:p>
      <w:pPr>
        <w:pStyle w:val="ListBullet"/>
      </w:pPr>
      <w:r>
        <w:t>N &lt; 30: fold into Paper 1 as one supplementary figure</w:t>
      </w:r>
    </w:p>
    <w:p>
      <w:pPr>
        <w:pStyle w:val="ListNumber"/>
      </w:pPr>
      <w:r>
        <w:rPr>
          <w:b/>
        </w:rPr>
        <w:t>Head-to-head SDC divergence magnitude</w:t>
      </w:r>
      <w:r>
        <w:t xml:space="preserve"> — unknown until run. Predetermines methods-lead vs biology-lead framing.</w:t>
      </w:r>
    </w:p>
    <w:p>
      <w:pPr>
        <w:pStyle w:val="ListNumber"/>
      </w:pPr>
      <w:r>
        <w:rPr>
          <w:b/>
        </w:rPr>
        <w:t>LQT / BCB installation</w:t>
      </w:r>
      <w:r>
        <w:t xml:space="preserve"> — MATLAB dependency. May need Python ports or a MATLAB compiler runtime workaround.</w:t>
      </w:r>
    </w:p>
    <w:p>
      <w:pPr>
        <w:pStyle w:val="ListNumber"/>
      </w:pPr>
      <w:r>
        <w:rPr>
          <w:b/>
        </w:rPr>
        <w:t>Cross-site harmonization</w:t>
      </w:r>
      <w:r>
        <w:t xml:space="preserve"> — TRACK-TBI is multisite; ComBat or site-fixed-effects likely required.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Suggested citation of prior work in intro (for coauthor review)</w:t>
      </w:r>
    </w:p>
    <w:p>
      <w:pPr>
        <w:pStyle w:val="ListBullet"/>
      </w:pPr>
      <w:r>
        <w:rPr>
          <w:b/>
        </w:rPr>
        <w:t>Direct precedent:</w:t>
      </w:r>
      <w:r>
        <w:t xml:space="preserve"> Griffis et al. 2019 </w:t>
      </w:r>
      <w:r>
        <w:rPr>
          <w:i/>
        </w:rPr>
        <w:t>Cell Reports</w:t>
      </w:r>
      <w:r>
        <w:t xml:space="preserve"> (SC → FC → behavior in stroke — the template we extend)</w:t>
      </w:r>
    </w:p>
    <w:p>
      <w:pPr>
        <w:pStyle w:val="ListBullet"/>
      </w:pPr>
      <w:r>
        <w:rPr>
          <w:b/>
        </w:rPr>
        <w:t>Multi-domain outcome extension:</w:t>
      </w:r>
      <w:r>
        <w:t xml:space="preserve"> Salvalaggio et al. 2020 </w:t>
      </w:r>
      <w:r>
        <w:rPr>
          <w:i/>
        </w:rPr>
        <w:t>Brain</w:t>
      </w:r>
      <w:r>
        <w:t xml:space="preserve"> (established combined SC + indirect FC modeling)</w:t>
      </w:r>
    </w:p>
    <w:p>
      <w:pPr>
        <w:pStyle w:val="ListBullet"/>
      </w:pPr>
      <w:r>
        <w:rPr>
          <w:b/>
        </w:rPr>
        <w:t>Behavioral framework:</w:t>
      </w:r>
      <w:r>
        <w:t xml:space="preserve"> Corbetta et al. 2015 </w:t>
      </w:r>
      <w:r>
        <w:rPr>
          <w:i/>
        </w:rPr>
        <w:t>Neuron</w:t>
      </w:r>
      <w:r>
        <w:t xml:space="preserve"> (factor-analytic multi-domain deficit scores)</w:t>
      </w:r>
    </w:p>
    <w:p>
      <w:pPr>
        <w:pStyle w:val="ListBullet"/>
      </w:pPr>
      <w:r>
        <w:rPr>
          <w:b/>
        </w:rPr>
        <w:t>Normative-atlas SDC comparators:</w:t>
      </w:r>
      <w:r>
        <w:t xml:space="preserve"> Griffis 2021 </w:t>
      </w:r>
      <w:r>
        <w:rPr>
          <w:i/>
        </w:rPr>
        <w:t>NI:Clinical</w:t>
      </w:r>
      <w:r>
        <w:t xml:space="preserve"> (LQT); Foulon 2018 </w:t>
      </w:r>
      <w:r>
        <w:rPr>
          <w:i/>
        </w:rPr>
        <w:t>GigaScience</w:t>
      </w:r>
      <w:r>
        <w:t xml:space="preserve"> (BCBtoolkit); Kuceyeski 2013 </w:t>
      </w:r>
      <w:r>
        <w:rPr>
          <w:i/>
        </w:rPr>
        <w:t>Brain Connectivity</w:t>
      </w:r>
      <w:r>
        <w:t xml:space="preserve"> (NeMo)</w:t>
      </w:r>
    </w:p>
    <w:p>
      <w:pPr>
        <w:pStyle w:val="ListBullet"/>
      </w:pPr>
      <w:r>
        <w:rPr>
          <w:b/>
        </w:rPr>
        <w:t>Parallel lineage:</w:t>
      </w:r>
      <w:r>
        <w:t xml:space="preserve"> Boes et al. 2015 </w:t>
      </w:r>
      <w:r>
        <w:rPr>
          <w:i/>
        </w:rPr>
        <w:t>Brain</w:t>
      </w:r>
      <w:r>
        <w:t xml:space="preserve">; Fox 2018 </w:t>
      </w:r>
      <w:r>
        <w:rPr>
          <w:i/>
        </w:rPr>
        <w:t>NEJM</w:t>
      </w:r>
      <w:r>
        <w:t xml:space="preserve"> (lesion network mapping)</w:t>
      </w:r>
    </w:p>
    <w:p>
      <w:pPr>
        <w:pStyle w:val="ListBullet"/>
      </w:pPr>
      <w:r>
        <w:rPr>
          <w:b/>
        </w:rPr>
        <w:t>Current methodological frontier:</w:t>
      </w:r>
      <w:r>
        <w:t xml:space="preserve"> Talozzi et al. 2023 </w:t>
      </w:r>
      <w:r>
        <w:rPr>
          <w:i/>
        </w:rPr>
        <w:t>Brain</w:t>
      </w:r>
      <w:r>
        <w:t xml:space="preserve"> (latent disconnectome)</w:t>
      </w:r>
    </w:p>
    <w:p>
      <w:pPr>
        <w:pStyle w:val="ListBullet"/>
      </w:pPr>
      <w:r>
        <w:rPr>
          <w:b/>
        </w:rPr>
        <w:t>TBI-specific:</w:t>
      </w:r>
      <w:r>
        <w:t xml:space="preserve"> Warren 2015 </w:t>
      </w:r>
      <w:r>
        <w:rPr>
          <w:i/>
        </w:rPr>
        <w:t>Brain</w:t>
      </w:r>
      <w:r>
        <w:t xml:space="preserve">; Kuceyeski 2020 </w:t>
      </w:r>
      <w:r>
        <w:rPr>
          <w:i/>
        </w:rPr>
        <w:t>HBM</w:t>
      </w:r>
      <w:r>
        <w:t xml:space="preserve">; Palacios 2022 </w:t>
      </w:r>
      <w:r>
        <w:rPr>
          <w:i/>
        </w:rPr>
        <w:t>J Neurotrauma</w:t>
      </w:r>
    </w:p>
    <w:p>
      <w:pPr>
        <w:pStyle w:val="ListBullet"/>
      </w:pPr>
      <w:r>
        <w:rPr>
          <w:b/>
        </w:rPr>
        <w:t>Our methods stack:</w:t>
      </w:r>
      <w:r>
        <w:t xml:space="preserve"> Cieslak 2021 (QSIPrep); Esteban 2019 (fMRIPrep); Mehta 2024 (XCP-D); Bey 2024 </w:t>
      </w:r>
      <w:r>
        <w:rPr>
          <w:i/>
        </w:rPr>
        <w:t>HBM</w:t>
      </w:r>
      <w:r>
        <w:t xml:space="preserve"> (LeAPP methods — cited for SC pipeline)</w:t>
      </w:r>
    </w:p>
    <w:p>
      <w:pPr>
        <w:pStyle w:val="ListBullet"/>
      </w:pPr>
      <w:r>
        <w:rPr>
          <w:b/>
        </w:rPr>
        <w:t>Positioning contrast (optional):</w:t>
      </w:r>
      <w:r>
        <w:t xml:space="preserve"> Che et al. 2026 </w:t>
      </w:r>
      <w:r>
        <w:rPr>
          <w:i/>
        </w:rPr>
        <w:t>Brain Communications</w:t>
      </w:r>
      <w:r>
        <w:t xml:space="preserve"> (CT + GAN-MRI outcome prediction; we offer interpretability)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we ask coauthors to weigh in on</w:t>
      </w:r>
    </w:p>
    <w:p>
      <w:pPr>
        <w:pStyle w:val="ListNumber"/>
      </w:pPr>
      <w:r>
        <w:rPr>
          <w:b/>
        </w:rPr>
        <w:t>Framing decision timing</w:t>
      </w:r>
      <w:r>
        <w:t xml:space="preserve"> — commit early to methods-lead OR biology-lead, or run both analyses and decide by results (recommend: latter)</w:t>
      </w:r>
    </w:p>
    <w:p>
      <w:pPr>
        <w:pStyle w:val="ListNumber"/>
      </w:pPr>
      <w:r>
        <w:rPr>
          <w:b/>
        </w:rPr>
        <w:t>Target venue at submission</w:t>
      </w:r>
      <w:r>
        <w:t xml:space="preserve"> — J Neurotrauma safer, HBM balanced, Brain stretchy, NeuroImage methods-lead</w:t>
      </w:r>
    </w:p>
    <w:p>
      <w:pPr>
        <w:pStyle w:val="ListNumber"/>
      </w:pPr>
      <w:r>
        <w:rPr>
          <w:b/>
        </w:rPr>
        <w:t>Fixed imaging arm</w:t>
      </w:r>
      <w:r>
        <w:t xml:space="preserve"> — </w:t>
      </w:r>
      <w:r>
        <w:rPr>
          <w:rFonts w:ascii="Consolas" w:hAnsi="Consolas"/>
          <w:sz w:val="20"/>
        </w:rPr>
        <w:t>neurolit-lesion</w:t>
      </w:r>
      <w:r>
        <w:t xml:space="preserve"> default; consider </w:t>
      </w:r>
      <w:r>
        <w:rPr>
          <w:rFonts w:ascii="Consolas" w:hAnsi="Consolas"/>
          <w:sz w:val="20"/>
        </w:rPr>
        <w:t>vbt-lesion</w:t>
      </w:r>
      <w:r>
        <w:t xml:space="preserve"> for stroke-analog defensibility</w:t>
      </w:r>
    </w:p>
    <w:p>
      <w:pPr>
        <w:pStyle w:val="ListNumber"/>
      </w:pPr>
      <w:r>
        <w:rPr>
          <w:b/>
        </w:rPr>
        <w:t>rs-fMRI processing decisions</w:t>
      </w:r>
      <w:r>
        <w:t xml:space="preserve"> — 36P nuisance regression, 0.01–0.08 Hz bandpass, FD 0.5mm censoring (matches Griffis-lineage precedent) — confirm before locking analysis plan</w:t>
      </w:r>
    </w:p>
    <w:p>
      <w:pPr>
        <w:pStyle w:val="ListNumber"/>
      </w:pPr>
      <w:r>
        <w:rPr>
          <w:b/>
        </w:rPr>
        <w:t>TRACK-TBI clinical export status</w:t>
      </w:r>
      <w:r>
        <w:t xml:space="preserve"> — who's contacting the data core, and by when?</w:t>
      </w:r>
    </w:p>
    <w:p>
      <w:pPr>
        <w:pStyle w:val="ListNumber"/>
      </w:pPr>
      <w:r>
        <w:rPr>
          <w:b/>
        </w:rPr>
        <w:t>Author list + CRediT contributions</w:t>
      </w:r>
    </w:p>
    <w:p>
      <w:pPr>
        <w:pStyle w:val="ListNumber"/>
      </w:pPr>
      <w:r>
        <w:rPr>
          <w:b/>
        </w:rPr>
        <w:t>Whether to run analysis plan through OSF preregistration</w:t>
      </w:r>
      <w:r>
        <w:t xml:space="preserve"> (1 day; strong rigor signal)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Sample-size honesty</w:t>
      </w:r>
    </w:p>
    <w:p>
      <w:r>
        <w:t>Comparators from Griffis-lineage stroke work: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Paper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Venue</w:t>
            </w:r>
          </w:p>
        </w:tc>
      </w:tr>
      <w:tr>
        <w:tc>
          <w:tcPr>
            <w:tcW w:type="dxa" w:w="3216"/>
          </w:tcPr>
          <w:p>
            <w:r/>
            <w:r>
              <w:t>Griffis 2019 (stroke, chain established)</w:t>
            </w:r>
          </w:p>
        </w:tc>
        <w:tc>
          <w:tcPr>
            <w:tcW w:type="dxa" w:w="3216"/>
          </w:tcPr>
          <w:p>
            <w:r/>
            <w:r>
              <w:t>114</w:t>
            </w:r>
          </w:p>
        </w:tc>
        <w:tc>
          <w:tcPr>
            <w:tcW w:type="dxa" w:w="3216"/>
          </w:tcPr>
          <w:p>
            <w:r/>
            <w:r>
              <w:t>Cell Reports</w:t>
            </w:r>
          </w:p>
        </w:tc>
      </w:tr>
      <w:tr>
        <w:tc>
          <w:tcPr>
            <w:tcW w:type="dxa" w:w="3216"/>
          </w:tcPr>
          <w:p>
            <w:r/>
            <w:r>
              <w:t>Salvalaggio 2020 (multi-domain extension)</w:t>
            </w:r>
          </w:p>
        </w:tc>
        <w:tc>
          <w:tcPr>
            <w:tcW w:type="dxa" w:w="3216"/>
          </w:tcPr>
          <w:p>
            <w:r/>
            <w:r>
              <w:t>~155</w:t>
            </w:r>
          </w:p>
        </w:tc>
        <w:tc>
          <w:tcPr>
            <w:tcW w:type="dxa" w:w="3216"/>
          </w:tcPr>
          <w:p>
            <w:r/>
            <w:r>
              <w:t>Brain</w:t>
            </w:r>
          </w:p>
        </w:tc>
      </w:tr>
      <w:tr>
        <w:tc>
          <w:tcPr>
            <w:tcW w:type="dxa" w:w="3216"/>
          </w:tcPr>
          <w:p>
            <w:r/>
            <w:r>
              <w:t>Talozzi 2023 (latent disconnectome, stroke)</w:t>
            </w:r>
          </w:p>
        </w:tc>
        <w:tc>
          <w:tcPr>
            <w:tcW w:type="dxa" w:w="3216"/>
          </w:tcPr>
          <w:p>
            <w:r/>
            <w:r>
              <w:t>~500</w:t>
            </w:r>
          </w:p>
        </w:tc>
        <w:tc>
          <w:tcPr>
            <w:tcW w:type="dxa" w:w="3216"/>
          </w:tcPr>
          <w:p>
            <w:r/>
            <w:r>
              <w:t>Brain</w:t>
            </w:r>
          </w:p>
        </w:tc>
      </w:tr>
      <w:tr>
        <w:tc>
          <w:tcPr>
            <w:tcW w:type="dxa" w:w="3216"/>
          </w:tcPr>
          <w:p>
            <w:r/>
            <w:r>
              <w:t>Our Paper 2 (target)</w:t>
            </w:r>
          </w:p>
        </w:tc>
        <w:tc>
          <w:tcPr>
            <w:tcW w:type="dxa" w:w="3216"/>
          </w:tcPr>
          <w:p>
            <w:r/>
            <w:r>
              <w:t>45–55 complete cases</w:t>
            </w:r>
          </w:p>
        </w:tc>
        <w:tc>
          <w:tcPr>
            <w:tcW w:type="dxa" w:w="3216"/>
          </w:tcPr>
          <w:p>
            <w:r/>
            <w:r>
              <w:t>J Neurotrauma / HBM realistic; Brain stretch</w:t>
            </w:r>
          </w:p>
        </w:tc>
      </w:tr>
    </w:tbl>
    <w:p/>
    <w:p>
      <w:r>
        <w:t>Our N is smaller than the direct analogs. This is defensible for:</w:t>
      </w:r>
    </w:p>
    <w:p>
      <w:pPr>
        <w:pStyle w:val="ListBullet"/>
      </w:pPr>
      <w:r>
        <w:rPr>
          <w:b/>
        </w:rPr>
        <w:t>Brain</w:t>
      </w:r>
      <w:r>
        <w:t xml:space="preserve"> if we compensate with mechanism-clarity + patient-specific-SDC differentiator + full SC → FC → behavior chain</w:t>
      </w:r>
    </w:p>
    <w:p>
      <w:pPr>
        <w:pStyle w:val="ListBullet"/>
      </w:pPr>
      <w:r>
        <w:rPr>
          <w:b/>
        </w:rPr>
        <w:t>HBM / J Neurotrauma</w:t>
      </w:r>
      <w:r>
        <w:t xml:space="preserve"> on any showing</w:t>
      </w:r>
    </w:p>
    <w:p>
      <w:pPr>
        <w:pStyle w:val="ListBullet"/>
      </w:pPr>
      <w:r>
        <w:rPr>
          <w:b/>
        </w:rPr>
        <w:t>NeuroImage</w:t>
      </w:r>
      <w:r>
        <w:t xml:space="preserve"> if methods-lead framing + head-to-head divergence delivers</w:t>
      </w:r>
    </w:p>
    <w:p>
      <w:r>
        <w:t>Not defensible for:</w:t>
      </w:r>
    </w:p>
    <w:p>
      <w:pPr>
        <w:pStyle w:val="ListBullet"/>
      </w:pPr>
      <w:r>
        <w:t>Cell Reports (N too small relative to prior)</w:t>
      </w:r>
    </w:p>
    <w:p>
      <w:pPr>
        <w:pStyle w:val="ListBullet"/>
      </w:pPr>
      <w:r>
        <w:t>Nature Communications (requires replication cohort we lack)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See also</w:t>
      </w:r>
    </w:p>
    <w:p>
      <w:pPr>
        <w:pStyle w:val="ListBullet"/>
      </w:pPr>
      <w:r>
        <w:rPr>
          <w:color w:val="1F4E79"/>
          <w:u w:val="single"/>
        </w:rPr>
        <w:t>`index.md`</w:t>
      </w:r>
      <w:r>
        <w:t xml:space="preserve"> — full cover doc with cross-tier paper matrix</w:t>
      </w:r>
    </w:p>
    <w:p>
      <w:pPr>
        <w:pStyle w:val="ListBullet"/>
      </w:pPr>
      <w:r>
        <w:rPr>
          <w:color w:val="1F4E79"/>
          <w:u w:val="single"/>
        </w:rPr>
        <w:t>`disconnectome_missing.md`</w:t>
      </w:r>
      <w:r>
        <w:t xml:space="preserve"> — submission-readiness checklist</w:t>
      </w:r>
    </w:p>
    <w:p>
      <w:pPr>
        <w:pStyle w:val="ListBullet"/>
      </w:pPr>
      <w:r>
        <w:rPr>
          <w:color w:val="1F4E79"/>
          <w:u w:val="single"/>
        </w:rPr>
        <w:t>`outcomes_planning.md`</w:t>
      </w:r>
      <w:r>
        <w:t xml:space="preserve"> — full detailed planning, Griffis-2019 contribution breakdown</w:t>
      </w:r>
    </w:p>
    <w:p>
      <w:pPr>
        <w:pStyle w:val="ListBullet"/>
      </w:pPr>
      <w:r>
        <w:rPr>
          <w:color w:val="1F4E79"/>
          <w:u w:val="single"/>
        </w:rPr>
        <w:t>`analysis_plan.md`</w:t>
      </w:r>
      <w:r>
        <w:t xml:space="preserve"> — pre-registration template</w:t>
      </w:r>
    </w:p>
    <w:p>
      <w:pPr>
        <w:pStyle w:val="ListBullet"/>
      </w:pPr>
      <w:r>
        <w:rPr>
          <w:color w:val="1F4E79"/>
          <w:u w:val="single"/>
        </w:rPr>
        <w:t>`manuscript_skeleton.md`</w:t>
      </w:r>
      <w:r>
        <w:t xml:space="preserve"> — writing template</w:t>
      </w:r>
    </w:p>
    <w:p>
      <w:pPr>
        <w:pStyle w:val="ListBullet"/>
      </w:pPr>
      <w:r>
        <w:rPr>
          <w:color w:val="1F4E79"/>
          <w:u w:val="single"/>
        </w:rPr>
        <w:t>`../journal_tier.md`</w:t>
      </w:r>
      <w:r>
        <w:t xml:space="preserve"> — ten-venue landscape</w:t>
      </w:r>
    </w:p>
    <w:p>
      <w:pPr>
        <w:pStyle w:val="ListBullet"/>
      </w:pPr>
      <w:r>
        <w:rPr>
          <w:color w:val="1F4E79"/>
          <w:u w:val="single"/>
        </w:rPr>
        <w:t>`../LQT.md`</w:t>
      </w:r>
      <w:r>
        <w:t xml:space="preserve"> — normative-atlas SDC family reference</w:t>
      </w:r>
    </w:p>
    <w:p>
      <w:pPr>
        <w:pStyle w:val="ListBullet"/>
      </w:pPr>
      <w:r>
        <w:rPr>
          <w:color w:val="1F4E79"/>
          <w:u w:val="single"/>
        </w:rPr>
        <w:t>`../Griffis_later.md`</w:t>
      </w:r>
      <w:r>
        <w:t xml:space="preserve"> — Salvalaggio / Talozzi / Kuceyeski lineage</w:t>
      </w:r>
    </w:p>
    <w:p>
      <w:pPr>
        <w:pStyle w:val="ListBullet"/>
      </w:pPr>
      <w:r>
        <w:rPr>
          <w:color w:val="1F4E79"/>
          <w:u w:val="single"/>
        </w:rPr>
        <w:t>`../distance_novelty.md`</w:t>
      </w:r>
      <w:r>
        <w:t xml:space="preserve"> — contribution framework + per-paper contribution list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