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Factorial paper — honest working abstract</w:t>
      </w:r>
    </w:p>
    <w:p>
      <w:r>
        <w:rPr>
          <w:b/>
        </w:rPr>
        <w:t>Purpose:</w:t>
      </w:r>
      <w:r>
        <w:t xml:space="preserve"> internal working abstract to share with PI and collaborators. Written honestly — reflects what we plan to do, what's contingent on execution, and what we deliberately are </w:t>
      </w:r>
      <w:r>
        <w:rPr>
          <w:i/>
        </w:rPr>
        <w:t>not</w:t>
      </w:r>
      <w:r>
        <w:t xml:space="preserve"> claiming. This is not the submission-ready abstract (that comes after results are in and results- dependent language is possible).</w:t>
      </w:r>
    </w:p>
    <w:p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index.md</w:t>
      </w:r>
      <w:r>
        <w:t xml:space="preserve"> · </w:t>
      </w:r>
      <w:r>
        <w:rPr>
          <w:color w:val="1F4E79"/>
          <w:u w:val="single"/>
        </w:rPr>
        <w:t>factorial_missing.md</w:t>
      </w:r>
      <w:r>
        <w:t xml:space="preserve"> · </w:t>
      </w:r>
      <w:r>
        <w:rPr>
          <w:color w:val="1F4E79"/>
          <w:u w:val="single"/>
        </w:rPr>
        <w:t>analysis_plan.md</w:t>
      </w:r>
      <w:r>
        <w:t xml:space="preserve"> · </w:t>
      </w:r>
      <w:r>
        <w:rPr>
          <w:color w:val="1F4E79"/>
          <w:u w:val="single"/>
        </w:rPr>
        <w:t>leapp_lineage.md</w:t>
      </w:r>
    </w:p>
    <w:p>
      <w:r>
        <w:rPr>
          <w:b/>
        </w:rPr>
        <w:t>Status:</w:t>
      </w:r>
      <w:r>
        <w:t xml:space="preserve"> DRAFT for PI/collaborator review, 2026-09-18. Target: HBM default, NeuroImage stretch (with synthetic-lesion validation).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Working title</w:t>
      </w:r>
    </w:p>
    <w:p>
      <w:r>
        <w:rPr>
          <w:i/>
        </w:rPr>
        <w:t>Lesion-aware structural connectomics in traumatic brain injury: a factorial comparison of inpainting, virtual brain transplant, and pathology-informed tractography.</w:t>
      </w:r>
    </w:p>
    <w:p>
      <w:pPr>
        <w:pStyle w:val="Heading2"/>
      </w:pPr>
      <w:r>
        <w:t>Honest abstract (~300 words)</w:t>
      </w:r>
    </w:p>
    <w:p>
      <w:r>
        <w:rPr>
          <w:b/>
        </w:rPr>
        <w:t>Background.</w:t>
      </w:r>
      <w:r>
        <w:t xml:space="preserve"> Focal traumatic brain injury (TBI) breaks the assumptions of standard structural connectome pipelines. Two independent decisions each change the resulting connectome: (1) whether the T1w is corrected before cortical reconstruction, and (2) whether tractography treats the lesion mask as pathological tissue. For ischemic stroke, Bey et al. (2024, </w:t>
      </w:r>
      <w:r>
        <w:rPr>
          <w:i/>
        </w:rPr>
        <w:t>Human Brain Mapping</w:t>
      </w:r>
      <w:r>
        <w:t>) evaluated these two axes factorially, introducing the LeAPP framework (Lesion-Aware automated Processing Pipeline). Whether the framework generalizes to TBI — where lesion morphology is heterogeneous (contusion, oedema, hemorrhage, bilateral injury) — is unknown.</w:t>
      </w:r>
    </w:p>
    <w:p>
      <w:r>
        <w:rPr>
          <w:b/>
        </w:rPr>
        <w:t>Question.</w:t>
      </w:r>
      <w:r>
        <w:t xml:space="preserve"> Does the LeAPP anatomy × ACT factorial framework generalize to TBI at cohort scale, and does the addition of a third anatomy backend (neuroLIT DDPM inpainting; Pollak et al. 2025) meaningfully differ from the deterministic virtual-brain-transplant approach LeAPP uses?</w:t>
      </w:r>
    </w:p>
    <w:p>
      <w:r>
        <w:rPr>
          <w:b/>
        </w:rPr>
        <w:t>Approach.</w:t>
      </w:r>
      <w:r>
        <w:t xml:space="preserve"> We process ~100 TrackTBI subjects with clinician-traced lesion masks through a 3 × 2 factorial (anatomy: original / neuroLIT / VBT; ACT: standard / pathology-informed) with isolated per-arm outputs. Pre-specified contrasts test main effects, interaction, and per-arm completion / failure modes. Reproducibility infrastructure — containerized pipeline, per-step provenance JSON, Snakemake DAG, BIDS-App wrapper — is distributed openly.</w:t>
      </w:r>
    </w:p>
    <w:p>
      <w:r>
        <w:rPr>
          <w:b/>
        </w:rPr>
        <w:t>Anticipated findings (results-dependent).</w:t>
      </w:r>
      <w:r>
        <w:t xml:space="preserve"> We expect (a) lesion-aware ACT to change connectomes within each anatomy backend by a measurable amount, (b) neuroLIT and VBT to diverge in a subgroup where VBT's mirror assumption strains (bilateral injury; ~30–40% of moderate-severe TBI), and (c) per-arm completion rates to differ non-trivially — providing the field with a calibrated map of when each preprocessing choice matters.</w:t>
      </w:r>
    </w:p>
    <w:p>
      <w:r>
        <w:rPr>
          <w:b/>
        </w:rPr>
        <w:t>Interpretation caveats.</w:t>
      </w:r>
      <w:r>
        <w:t xml:space="preserve"> This is methods-sensitivity science, not biological discovery. We do not claim which arm is "correct." Clinical- outcome linkage is out of scope (that is our Paper 2). Results depend on cohort N delivery and cohort heterogeneity; a small subset of arms may require failure-mode framing rather than direct comparison.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What this paper </w:t>
      </w:r>
      <w:r>
        <w:rPr>
          <w:i/>
        </w:rPr>
        <w:t>is</w:t>
      </w:r>
    </w:p>
    <w:p>
      <w:pPr>
        <w:pStyle w:val="ListBullet"/>
      </w:pPr>
      <w:r>
        <w:t>A cohort-scale test of whether the LeAPP framework generalizes from stroke to TBI</w:t>
      </w:r>
    </w:p>
    <w:p>
      <w:pPr>
        <w:pStyle w:val="ListBullet"/>
      </w:pPr>
      <w:r>
        <w:t>A three-way anatomy comparison (orig / neuroLIT / VBT) — first factorial evaluation of neuroLIT alongside VBT in real lesioned brains</w:t>
      </w:r>
    </w:p>
    <w:p>
      <w:pPr>
        <w:pStyle w:val="ListBullet"/>
      </w:pPr>
      <w:r>
        <w:t>A calibrated methods-sensitivity result telling future TBI network studies which preprocessing knobs matter</w:t>
      </w:r>
    </w:p>
    <w:p>
      <w:pPr>
        <w:pStyle w:val="ListBullet"/>
      </w:pPr>
      <w:r>
        <w:t>A distributable, containerized pipeline for future users</w:t>
      </w:r>
    </w:p>
    <w:p>
      <w:pPr>
        <w:pStyle w:val="ListBullet"/>
      </w:pPr>
      <w:r>
        <w:t>Honest per-arm completion / QC reporting — pass and fail rates, not just success stories</w:t>
      </w:r>
    </w:p>
    <w:p>
      <w:pPr>
        <w:pStyle w:val="Heading2"/>
      </w:pPr>
      <w:r>
        <w:t xml:space="preserve">What this paper </w:t>
      </w:r>
      <w:r>
        <w:rPr>
          <w:i/>
        </w:rPr>
        <w:t>is not</w:t>
      </w:r>
    </w:p>
    <w:p>
      <w:pPr>
        <w:pStyle w:val="ListBullet"/>
      </w:pPr>
      <w:r>
        <w:t>Not a discovery of new TBI biology</w:t>
      </w:r>
    </w:p>
    <w:p>
      <w:pPr>
        <w:pStyle w:val="ListBullet"/>
      </w:pPr>
      <w:r>
        <w:t>Not a new tractography or inpainting technique (all algorithms adopted from cited prior work)</w:t>
      </w:r>
    </w:p>
    <w:p>
      <w:pPr>
        <w:pStyle w:val="ListBullet"/>
      </w:pPr>
      <w:r>
        <w:t>Not a clinical outcome / prognostic paper (that's Paper 2)</w:t>
      </w:r>
    </w:p>
    <w:p>
      <w:pPr>
        <w:pStyle w:val="ListBullet"/>
      </w:pPr>
      <w:r>
        <w:t>Not a claim about which arm is ground truth — no arm has that status</w:t>
      </w:r>
    </w:p>
    <w:p>
      <w:pPr>
        <w:pStyle w:val="ListBullet"/>
      </w:pPr>
      <w:r>
        <w:t>Not a Nature-tier finding; realistically HBM by default, NeuroImage with additional synthetic-lesion validation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Contingencies acknowledged for PI / collaborator review</w:t>
      </w:r>
    </w:p>
    <w:p>
      <w:pPr>
        <w:pStyle w:val="ListNumber"/>
      </w:pPr>
      <w:r>
        <w:rPr>
          <w:b/>
        </w:rPr>
        <w:t>Cohort N delivery.</w:t>
      </w:r>
      <w:r>
        <w:t xml:space="preserve"> Target ~100 subjects with lesion masks; actual delivery depends on TrackTBI mask availability and processing success rate. If N &lt; 40 per arm, framing shifts to failure-mode analysis; likely venue tier caps at HBM with limitations.</w:t>
      </w:r>
    </w:p>
    <w:p>
      <w:pPr>
        <w:pStyle w:val="ListNumber"/>
      </w:pPr>
      <w:r>
        <w:rPr>
          <w:b/>
        </w:rPr>
        <w:t>VBT technical failures on bilateral cases.</w:t>
      </w:r>
      <w:r>
        <w:t xml:space="preserve"> Documented risk (midtrans SIGSEGV observed on pilot). Fold into first-class failure-mode result rather than dropping subjects.</w:t>
      </w:r>
    </w:p>
    <w:p>
      <w:pPr>
        <w:pStyle w:val="ListNumber"/>
      </w:pPr>
      <w:r>
        <w:rPr>
          <w:b/>
        </w:rPr>
        <w:t>neuroLIT out-of-distribution behavior.</w:t>
      </w:r>
      <w:r>
        <w:t xml:space="preserve"> Pollak 2025 validated on healthy + simulated lesions; real TBI patterns may push the DDPM out of distribution. Sensitivity supplement recommended.</w:t>
      </w:r>
    </w:p>
    <w:p>
      <w:pPr>
        <w:pStyle w:val="ListNumber"/>
      </w:pPr>
      <w:r>
        <w:rPr>
          <w:b/>
        </w:rPr>
        <w:t>Deep Atropos supplement scope.</w:t>
      </w:r>
      <w:r>
        <w:t xml:space="preserve"> Currently a pilot-only sensitivity figure; scaling to N ≥ 30 subjects is a decision point.</w:t>
      </w:r>
    </w:p>
    <w:p>
      <w:pPr>
        <w:pStyle w:val="ListNumber"/>
      </w:pPr>
      <w:r>
        <w:rPr>
          <w:b/>
        </w:rPr>
        <w:t>Synthetic-lesion validation on CIDUR controls.</w:t>
      </w:r>
      <w:r>
        <w:t xml:space="preserve"> Optional but recommended for NeuroImage-tier submission (matches LeAPP's methodological completeness). Adds ~4 weeks of compute + analysis.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Suggested citation of prior work in intro (for coauthor review)</w:t>
      </w:r>
    </w:p>
    <w:p>
      <w:pPr>
        <w:pStyle w:val="ListBullet"/>
      </w:pPr>
      <w:r>
        <w:rPr>
          <w:b/>
        </w:rPr>
        <w:t>Direct precedent:</w:t>
      </w:r>
      <w:r>
        <w:t xml:space="preserve"> Bey et al. 2024 </w:t>
      </w:r>
      <w:r>
        <w:rPr>
          <w:i/>
        </w:rPr>
        <w:t>HBM</w:t>
      </w:r>
      <w:r>
        <w:t xml:space="preserve"> (LeAPP — the framework we extend)</w:t>
      </w:r>
    </w:p>
    <w:p>
      <w:pPr>
        <w:pStyle w:val="ListBullet"/>
      </w:pPr>
      <w:r>
        <w:rPr>
          <w:b/>
        </w:rPr>
        <w:t>Anatomy technique lineage:</w:t>
      </w:r>
      <w:r>
        <w:t xml:space="preserve"> Radwan et al. 2020 </w:t>
      </w:r>
      <w:r>
        <w:rPr>
          <w:i/>
        </w:rPr>
        <w:t>HBM</w:t>
      </w:r>
      <w:r>
        <w:t xml:space="preserve"> (VBG — VBT's origin); Pollak et al. 2025 </w:t>
      </w:r>
      <w:r>
        <w:rPr>
          <w:i/>
        </w:rPr>
        <w:t>Imaging Neuroscience</w:t>
      </w:r>
      <w:r>
        <w:t xml:space="preserve"> (neuroLIT DDPM)</w:t>
      </w:r>
    </w:p>
    <w:p>
      <w:pPr>
        <w:pStyle w:val="ListBullet"/>
      </w:pPr>
      <w:r>
        <w:rPr>
          <w:b/>
        </w:rPr>
        <w:t>ACT technique:</w:t>
      </w:r>
      <w:r>
        <w:t xml:space="preserve"> Smith et al. 2012 </w:t>
      </w:r>
      <w:r>
        <w:rPr>
          <w:i/>
        </w:rPr>
        <w:t>NeuroImage</w:t>
      </w:r>
      <w:r>
        <w:t xml:space="preserve"> (foundation)</w:t>
      </w:r>
    </w:p>
    <w:p>
      <w:pPr>
        <w:pStyle w:val="ListBullet"/>
      </w:pPr>
      <w:r>
        <w:rPr>
          <w:b/>
        </w:rPr>
        <w:t>TBI precedent:</w:t>
      </w:r>
      <w:r>
        <w:t xml:space="preserve"> Radwan et al. 2023 </w:t>
      </w:r>
      <w:r>
        <w:rPr>
          <w:i/>
        </w:rPr>
        <w:t>Network Neuroscience</w:t>
      </w:r>
      <w:r>
        <w:t xml:space="preserve"> (TBI + VBG + ACT, N=5)</w:t>
      </w:r>
    </w:p>
    <w:p>
      <w:pPr>
        <w:pStyle w:val="ListBullet"/>
      </w:pPr>
      <w:r>
        <w:rPr>
          <w:b/>
        </w:rPr>
        <w:t>TBI cohort scale:</w:t>
      </w:r>
      <w:r>
        <w:t xml:space="preserve"> Palacios et al. 2022 </w:t>
      </w:r>
      <w:r>
        <w:rPr>
          <w:i/>
        </w:rPr>
        <w:t>Journal of Neurotrauma</w:t>
      </w:r>
      <w:r>
        <w:t xml:space="preserve"> (TRACK-TBI DTI, N≈391)</w:t>
      </w:r>
    </w:p>
    <w:p>
      <w:pPr>
        <w:pStyle w:val="ListBullet"/>
      </w:pPr>
      <w:r>
        <w:rPr>
          <w:b/>
        </w:rPr>
        <w:t>Pipeline infrastructure:</w:t>
      </w:r>
      <w:r>
        <w:t xml:space="preserve"> Cieslak et al. 2021 (QSIPrep); Tournier et al. 2019 (MRtrix3); Fischl 2012 (FreeSurfer); Henschel et al. 2020 (FastSurfer)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we ask coauthors to weigh in on</w:t>
      </w:r>
    </w:p>
    <w:p>
      <w:pPr>
        <w:pStyle w:val="ListNumber"/>
      </w:pPr>
      <w:r>
        <w:rPr>
          <w:b/>
        </w:rPr>
        <w:t>Title framing</w:t>
      </w:r>
      <w:r>
        <w:t xml:space="preserve"> — is "factorial comparison" the right emphasis, or should we lead with "cohort-scale extension of LeAPP to TBI"?</w:t>
      </w:r>
    </w:p>
    <w:p>
      <w:pPr>
        <w:pStyle w:val="ListNumber"/>
      </w:pPr>
      <w:r>
        <w:rPr>
          <w:b/>
        </w:rPr>
        <w:t>Deep Atropos supplement scope</w:t>
      </w:r>
      <w:r>
        <w:t xml:space="preserve"> — pilot only vs cohort-subset run?</w:t>
      </w:r>
    </w:p>
    <w:p>
      <w:pPr>
        <w:pStyle w:val="ListNumber"/>
      </w:pPr>
      <w:r>
        <w:rPr>
          <w:b/>
        </w:rPr>
        <w:t>Synthetic-lesion validation decision</w:t>
      </w:r>
      <w:r>
        <w:t xml:space="preserve"> — pursue Tier B for NeuroImage-tier, or accept HBM default?</w:t>
      </w:r>
    </w:p>
    <w:p>
      <w:pPr>
        <w:pStyle w:val="ListNumber"/>
      </w:pPr>
      <w:r>
        <w:rPr>
          <w:b/>
        </w:rPr>
        <w:t>Author list + CRediT contributions</w:t>
      </w:r>
    </w:p>
    <w:p>
      <w:pPr>
        <w:pStyle w:val="ListNumber"/>
      </w:pPr>
      <w:r>
        <w:rPr>
          <w:b/>
        </w:rPr>
        <w:t>Preferred initial submission venue</w:t>
      </w:r>
      <w:r>
        <w:t xml:space="preserve"> — HBM (safer) vs NeuroImage (higher tier if Tier B lands cleanly)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`index.md`</w:t>
      </w:r>
      <w:r>
        <w:t xml:space="preserve"> — full cover doc with cross-tier paper matrix</w:t>
      </w:r>
    </w:p>
    <w:p>
      <w:pPr>
        <w:pStyle w:val="ListBullet"/>
      </w:pPr>
      <w:r>
        <w:rPr>
          <w:color w:val="1F4E79"/>
          <w:u w:val="single"/>
        </w:rPr>
        <w:t>`factorial_missing.md`</w:t>
      </w:r>
      <w:r>
        <w:t xml:space="preserve"> — submission-readiness checklist</w:t>
      </w:r>
    </w:p>
    <w:p>
      <w:pPr>
        <w:pStyle w:val="ListBullet"/>
      </w:pPr>
      <w:r>
        <w:rPr>
          <w:color w:val="1F4E79"/>
          <w:u w:val="single"/>
        </w:rPr>
        <w:t>`analysis_plan.md`</w:t>
      </w:r>
      <w:r>
        <w:t xml:space="preserve"> — 13-section pre-registration template</w:t>
      </w:r>
    </w:p>
    <w:p>
      <w:pPr>
        <w:pStyle w:val="ListBullet"/>
      </w:pPr>
      <w:r>
        <w:rPr>
          <w:color w:val="1F4E79"/>
          <w:u w:val="single"/>
        </w:rPr>
        <w:t>`differentiation_from_leapp.md`</w:t>
      </w:r>
      <w:r>
        <w:t xml:space="preserve"> — ranked menu of contribution additions</w:t>
      </w:r>
    </w:p>
    <w:p>
      <w:pPr>
        <w:pStyle w:val="ListBullet"/>
      </w:pPr>
      <w:r>
        <w:rPr>
          <w:color w:val="1F4E79"/>
          <w:u w:val="single"/>
        </w:rPr>
        <w:t>`../distance_novelty.md`</w:t>
      </w:r>
      <w:r>
        <w:t xml:space="preserve"> — contribution framework + per-paper contribution list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