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Factorial paper — what's missing to reach submission</w:t>
      </w:r>
    </w:p>
    <w:p>
      <w:r>
        <w:rPr>
          <w:b/>
        </w:rPr>
        <w:t>Purpose:</w:t>
      </w:r>
      <w:r>
        <w:t xml:space="preserve"> consolidated readiness checklist for the factorial paper (Paper 1). Tracks what needs to happen between the current state (pipeline built, pilot complete, planning docs mature) and a submitted manuscript.</w:t>
      </w:r>
    </w:p>
    <w:p>
      <w:r>
        <w:rPr>
          <w:b/>
        </w:rPr>
        <w:t>Related docs:</w:t>
      </w:r>
      <w:r>
        <w:t xml:space="preserve"> </w:t>
      </w:r>
      <w:r>
        <w:rPr>
          <w:color w:val="1F4E79"/>
          <w:u w:val="single"/>
        </w:rPr>
        <w:t>index.md</w:t>
      </w:r>
      <w:r>
        <w:t xml:space="preserve"> · </w:t>
      </w:r>
      <w:r>
        <w:rPr>
          <w:color w:val="1F4E79"/>
          <w:u w:val="single"/>
        </w:rPr>
        <w:t>analysis_plan.md</w:t>
      </w:r>
      <w:r>
        <w:t xml:space="preserve"> · </w:t>
      </w:r>
      <w:r>
        <w:rPr>
          <w:color w:val="1F4E79"/>
          <w:u w:val="single"/>
        </w:rPr>
        <w:t>completion_tracker.md</w:t>
      </w:r>
      <w:r>
        <w:t xml:space="preserve"> · </w:t>
      </w:r>
      <w:r>
        <w:rPr>
          <w:color w:val="1F4E79"/>
          <w:u w:val="single"/>
        </w:rPr>
        <w:t>manuscript_skeleton.md</w:t>
      </w:r>
      <w:r>
        <w:t xml:space="preserve"> · </w:t>
      </w:r>
      <w:r>
        <w:rPr>
          <w:color w:val="1F4E79"/>
          <w:u w:val="single"/>
        </w:rPr>
        <w:t>differentiation_from_leapp.md</w:t>
      </w:r>
      <w:r>
        <w:t xml:space="preserve"> · </w:t>
      </w:r>
      <w:r>
        <w:rPr>
          <w:color w:val="1F4E79"/>
          <w:u w:val="single"/>
        </w:rPr>
        <w:t>neuroimage_prerequisites.md</w:t>
      </w:r>
    </w:p>
    <w:p>
      <w:r>
        <w:rPr>
          <w:b/>
        </w:rPr>
        <w:t>Status as of 2026-09-18:</w:t>
      </w:r>
      <w:r>
        <w:t xml:space="preserve"> planning docs mature; N=1 pilot processed; cohort scaling not started.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Current readiness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Ready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Partial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Not started</w:t>
            </w:r>
          </w:p>
        </w:tc>
      </w:tr>
      <w:tr>
        <w:tc>
          <w:tcPr>
            <w:tcW w:type="dxa" w:w="2412"/>
          </w:tcPr>
          <w:p>
            <w:r/>
            <w:r>
              <w:t>Pipeline (SC, all 6 arms)</w:t>
            </w:r>
          </w:p>
        </w:tc>
        <w:tc>
          <w:tcPr>
            <w:tcW w:type="dxa" w:w="2412"/>
          </w:tcPr>
          <w:p>
            <w:r/>
            <w:r>
              <w:t>✅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Reproducibility infrastructure (containers, provenance JSON)</w:t>
            </w:r>
          </w:p>
        </w:tc>
        <w:tc>
          <w:tcPr>
            <w:tcW w:type="dxa" w:w="2412"/>
          </w:tcPr>
          <w:p>
            <w:r/>
            <w:r>
              <w:t>✅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Planning docs (index, analysis plan, skeleton, tracker, LeAPP lineage)</w:t>
            </w:r>
          </w:p>
        </w:tc>
        <w:tc>
          <w:tcPr>
            <w:tcW w:type="dxa" w:w="2412"/>
          </w:tcPr>
          <w:p>
            <w:r/>
            <w:r>
              <w:t>✅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Pilot processing (sub-TBI011011 × 7 arms)</w:t>
            </w:r>
          </w:p>
        </w:tc>
        <w:tc>
          <w:tcPr>
            <w:tcW w:type="dxa" w:w="2412"/>
          </w:tcPr>
          <w:p>
            <w:r/>
            <w:r>
              <w:t>✅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Cohort BIDS + lesion masks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t>⚠️ (subject 2 in BIDS, none processed yet)</w:t>
            </w:r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Full-cohort processing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t>❌</w:t>
            </w:r>
          </w:p>
        </w:tc>
      </w:tr>
      <w:tr>
        <w:tc>
          <w:tcPr>
            <w:tcW w:type="dxa" w:w="2412"/>
          </w:tcPr>
          <w:p>
            <w:r/>
            <w:r>
              <w:t>Analysis plan sign-off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t>⚠️ (template ready, not signed)</w:t>
            </w:r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Analysis code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t>❌</w:t>
            </w:r>
          </w:p>
        </w:tc>
      </w:tr>
      <w:tr>
        <w:tc>
          <w:tcPr>
            <w:tcW w:type="dxa" w:w="2412"/>
          </w:tcPr>
          <w:p>
            <w:r/>
            <w:r>
              <w:t>Cohort completion / QC-by-arm table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t>❌</w:t>
            </w:r>
          </w:p>
        </w:tc>
      </w:tr>
      <w:tr>
        <w:tc>
          <w:tcPr>
            <w:tcW w:type="dxa" w:w="2412"/>
          </w:tcPr>
          <w:p>
            <w:r/>
            <w:r>
              <w:t>Figures + tables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t>❌</w:t>
            </w:r>
          </w:p>
        </w:tc>
      </w:tr>
      <w:tr>
        <w:tc>
          <w:tcPr>
            <w:tcW w:type="dxa" w:w="2412"/>
          </w:tcPr>
          <w:p>
            <w:r/>
            <w:r>
              <w:t>Manuscript draft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t>❌</w:t>
            </w:r>
          </w:p>
        </w:tc>
      </w:tr>
      <w:tr>
        <w:tc>
          <w:tcPr>
            <w:tcW w:type="dxa" w:w="2412"/>
          </w:tcPr>
          <w:p>
            <w:r/>
            <w:r>
              <w:t>Coauthor list + contributions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t>❌</w:t>
            </w:r>
          </w:p>
        </w:tc>
      </w:tr>
      <w:tr>
        <w:tc>
          <w:tcPr>
            <w:tcW w:type="dxa" w:w="2412"/>
          </w:tcPr>
          <w:p>
            <w:r/>
            <w:r>
              <w:t>Cover letter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t>❌</w:t>
            </w:r>
          </w:p>
        </w:tc>
      </w:tr>
      <w:tr>
        <w:tc>
          <w:tcPr>
            <w:tcW w:type="dxa" w:w="2412"/>
          </w:tcPr>
          <w:p>
            <w:r/>
            <w:r>
              <w:t>Data availability plan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t>⚠️ (concept)</w:t>
            </w:r>
          </w:p>
        </w:tc>
        <w:tc>
          <w:tcPr>
            <w:tcW w:type="dxa" w:w="2412"/>
          </w:tcPr>
          <w:p>
            <w:r/>
          </w:p>
        </w:tc>
      </w:tr>
    </w:tbl>
    <w:p/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Blockers — must have before submission</w:t>
      </w:r>
    </w:p>
    <w:p>
      <w:pPr>
        <w:pStyle w:val="Heading3"/>
      </w:pPr>
      <w:r>
        <w:t>Data</w:t>
      </w:r>
    </w:p>
    <w:p>
      <w:pPr>
        <w:pStyle w:val="ListBullet"/>
      </w:pPr>
      <w:r>
        <w:t xml:space="preserve">[ ] </w:t>
      </w:r>
      <w:r>
        <w:rPr>
          <w:b/>
        </w:rPr>
        <w:t>Cohort identified</w:t>
      </w:r>
      <w:r>
        <w:t xml:space="preserve"> — ~100 TrackTBI subjects with clinician-traced lesion masks (currently N=2 in BIDS: TBI011011, TBI011204)</w:t>
      </w:r>
    </w:p>
    <w:p>
      <w:pPr>
        <w:pStyle w:val="ListBullet"/>
      </w:pPr>
      <w:r>
        <w:t xml:space="preserve">[ ] </w:t>
      </w:r>
      <w:r>
        <w:rPr>
          <w:b/>
        </w:rPr>
        <w:t>BIDS conversion completed</w:t>
      </w:r>
      <w:r>
        <w:t xml:space="preserve"> for the full lesion-mask cohort</w:t>
      </w:r>
    </w:p>
    <w:p>
      <w:pPr>
        <w:pStyle w:val="ListBullet"/>
      </w:pPr>
      <w:r>
        <w:t xml:space="preserve">[ ] </w:t>
      </w:r>
      <w:r>
        <w:rPr>
          <w:b/>
        </w:rPr>
        <w:t>Basic BIDS QC pass</w:t>
      </w:r>
      <w:r>
        <w:t xml:space="preserve"> per subject (T1w + DWI presence, orientation, geometry)</w:t>
      </w:r>
    </w:p>
    <w:p>
      <w:pPr>
        <w:pStyle w:val="ListBullet"/>
      </w:pPr>
      <w:r>
        <w:t xml:space="preserve">[ ] </w:t>
      </w:r>
      <w:r>
        <w:rPr>
          <w:b/>
        </w:rPr>
        <w:t>Lesion mask availability audit</w:t>
      </w:r>
      <w:r>
        <w:t xml:space="preserve"> — which subjects have clinician-traced masks vs need retracing / auto-segmentation</w:t>
      </w:r>
    </w:p>
    <w:p>
      <w:pPr>
        <w:pStyle w:val="Heading3"/>
      </w:pPr>
      <w:r>
        <w:t>Processing</w:t>
      </w:r>
    </w:p>
    <w:p>
      <w:pPr>
        <w:pStyle w:val="ListBullet"/>
      </w:pPr>
      <w:r>
        <w:t xml:space="preserve">[ ] </w:t>
      </w:r>
      <w:r>
        <w:rPr>
          <w:b/>
        </w:rPr>
        <w:t>Six-arm factorial processed on the cohort</w:t>
      </w:r>
      <w:r>
        <w:t xml:space="preserve"> — </w:t>
      </w:r>
      <w:r>
        <w:rPr>
          <w:rFonts w:ascii="Consolas" w:hAnsi="Consolas"/>
          <w:sz w:val="20"/>
        </w:rPr>
        <w:t>orig-std</w:t>
      </w:r>
      <w:r>
        <w:t xml:space="preserve">, </w:t>
      </w:r>
      <w:r>
        <w:rPr>
          <w:rFonts w:ascii="Consolas" w:hAnsi="Consolas"/>
          <w:sz w:val="20"/>
        </w:rPr>
        <w:t>orig-lesion</w:t>
      </w:r>
      <w:r>
        <w:t xml:space="preserve">, </w:t>
      </w:r>
      <w:r>
        <w:rPr>
          <w:rFonts w:ascii="Consolas" w:hAnsi="Consolas"/>
          <w:sz w:val="20"/>
        </w:rPr>
        <w:t>neurolit-std</w:t>
      </w:r>
      <w:r>
        <w:t xml:space="preserve">, </w:t>
      </w:r>
      <w:r>
        <w:rPr>
          <w:rFonts w:ascii="Consolas" w:hAnsi="Consolas"/>
          <w:sz w:val="20"/>
        </w:rPr>
        <w:t>neurolit-lesion</w:t>
      </w:r>
      <w:r>
        <w:t xml:space="preserve">, </w:t>
      </w:r>
      <w:r>
        <w:rPr>
          <w:rFonts w:ascii="Consolas" w:hAnsi="Consolas"/>
          <w:sz w:val="20"/>
        </w:rPr>
        <w:t>vbt-std</w:t>
      </w:r>
      <w:r>
        <w:t xml:space="preserve">, </w:t>
      </w:r>
      <w:r>
        <w:rPr>
          <w:rFonts w:ascii="Consolas" w:hAnsi="Consolas"/>
          <w:sz w:val="20"/>
        </w:rPr>
        <w:t>vbt-lesion</w:t>
      </w:r>
      <w:r>
        <w:t xml:space="preserve"> with per-arm output isolation under </w:t>
      </w:r>
      <w:r>
        <w:rPr>
          <w:rFonts w:ascii="Consolas" w:hAnsi="Consolas"/>
          <w:sz w:val="20"/>
        </w:rPr>
        <w:t>RESULTS_ROOT/arms/&lt;arm&gt;/</w:t>
      </w:r>
    </w:p>
    <w:p>
      <w:pPr>
        <w:pStyle w:val="ListBullet"/>
      </w:pPr>
      <w:r>
        <w:t xml:space="preserve">[ ] </w:t>
      </w:r>
      <w:r>
        <w:rPr>
          <w:b/>
        </w:rPr>
        <w:t>Container digests recorded</w:t>
      </w:r>
      <w:r>
        <w:t xml:space="preserve"> per subject-arm for reproducibility supplement</w:t>
      </w:r>
    </w:p>
    <w:p>
      <w:pPr>
        <w:pStyle w:val="ListBullet"/>
      </w:pPr>
      <w:r>
        <w:t xml:space="preserve">[ ] </w:t>
      </w:r>
      <w:r>
        <w:rPr>
          <w:b/>
        </w:rPr>
        <w:t>Per-arm completion tracking</w:t>
      </w:r>
      <w:r>
        <w:t xml:space="preserve"> — populate </w:t>
      </w:r>
      <w:r>
        <w:rPr>
          <w:color w:val="1F4E79"/>
          <w:u w:val="single"/>
        </w:rPr>
        <w:t>`completion_tracker.md`</w:t>
      </w:r>
      <w:r>
        <w:t xml:space="preserve"> with real data</w:t>
      </w:r>
    </w:p>
    <w:p>
      <w:pPr>
        <w:pStyle w:val="ListBullet"/>
      </w:pPr>
      <w:r>
        <w:t xml:space="preserve">[ ] </w:t>
      </w:r>
      <w:r>
        <w:rPr>
          <w:b/>
        </w:rPr>
        <w:t>Per-arm QC pass criteria applied</w:t>
      </w:r>
      <w:r>
        <w:t xml:space="preserve"> per subject (empty-node fraction, SIFT2 mu, pathology QA, marker files)</w:t>
      </w:r>
    </w:p>
    <w:p>
      <w:pPr>
        <w:pStyle w:val="Heading3"/>
      </w:pPr>
      <w:r>
        <w:t>Analysis planning</w:t>
      </w:r>
    </w:p>
    <w:p>
      <w:pPr>
        <w:pStyle w:val="ListBullet"/>
      </w:pPr>
      <w:r>
        <w:t xml:space="preserve">[ ] </w:t>
      </w:r>
      <w:r>
        <w:rPr>
          <w:b/>
        </w:rPr>
        <w:t>`analysis_plan.md` locked</w:t>
      </w:r>
      <w:r>
        <w:t xml:space="preserve"> — all 13 sections signed off before opening group results</w:t>
      </w:r>
    </w:p>
    <w:p>
      <w:pPr>
        <w:pStyle w:val="ListBullet"/>
      </w:pPr>
      <w:r>
        <w:t xml:space="preserve">[ ] </w:t>
      </w:r>
      <w:r>
        <w:rPr>
          <w:b/>
        </w:rPr>
        <w:t>Primary numeric outcome chosen</w:t>
      </w:r>
      <w:r>
        <w:t xml:space="preserve"> (mean abs edge diff / global correlation / PC1)</w:t>
      </w:r>
    </w:p>
    <w:p>
      <w:pPr>
        <w:pStyle w:val="ListBullet"/>
      </w:pPr>
      <w:r>
        <w:t xml:space="preserve">[ ] </w:t>
      </w:r>
      <w:r>
        <w:rPr>
          <w:b/>
        </w:rPr>
        <w:t>Primary parcellation chosen</w:t>
      </w:r>
      <w:r>
        <w:t xml:space="preserve"> (DKT default; Schaefer 200 sensitivity if Tier 2 addition included)</w:t>
      </w:r>
    </w:p>
    <w:p>
      <w:pPr>
        <w:pStyle w:val="ListBullet"/>
      </w:pPr>
      <w:r>
        <w:t xml:space="preserve">[ ] </w:t>
      </w:r>
      <w:r>
        <w:rPr>
          <w:b/>
        </w:rPr>
        <w:t>Statistical framework locked</w:t>
      </w:r>
      <w:r>
        <w:t xml:space="preserve"> (within-subject test type, multiple-comparison correction)</w:t>
      </w:r>
    </w:p>
    <w:p>
      <w:pPr>
        <w:pStyle w:val="ListBullet"/>
      </w:pPr>
      <w:r>
        <w:t xml:space="preserve">[ ] </w:t>
      </w:r>
      <w:r>
        <w:rPr>
          <w:b/>
        </w:rPr>
        <w:t>Completion-N threshold locked</w:t>
      </w:r>
      <w:r>
        <w:t xml:space="preserve"> per arm (default: N ≥ 40)</w:t>
      </w:r>
    </w:p>
    <w:p>
      <w:pPr>
        <w:pStyle w:val="Heading3"/>
      </w:pPr>
      <w:r>
        <w:t>Analysis execution</w:t>
      </w:r>
    </w:p>
    <w:p>
      <w:pPr>
        <w:pStyle w:val="ListBullet"/>
      </w:pPr>
      <w:r>
        <w:t xml:space="preserve">[ ] </w:t>
      </w:r>
      <w:r>
        <w:rPr>
          <w:b/>
        </w:rPr>
        <w:t>Analysis code repo/dir</w:t>
      </w:r>
      <w:r>
        <w:t xml:space="preserve"> — </w:t>
      </w:r>
      <w:r>
        <w:rPr>
          <w:rFonts w:ascii="Consolas" w:hAnsi="Consolas"/>
          <w:sz w:val="20"/>
        </w:rPr>
        <w:t>analysis/paper1/</w:t>
      </w:r>
      <w:r>
        <w:t xml:space="preserve"> with scripts for:</w:t>
      </w:r>
    </w:p>
    <w:p>
      <w:pPr>
        <w:pStyle w:val="ListBullet"/>
      </w:pPr>
      <w:r>
        <w:t>Pre-specified contrast tests (</w:t>
      </w:r>
      <w:r>
        <w:rPr>
          <w:rFonts w:ascii="Consolas" w:hAnsi="Consolas"/>
          <w:sz w:val="20"/>
        </w:rPr>
        <w:t>*-std</w:t>
      </w:r>
      <w:r>
        <w:t xml:space="preserve"> vs </w:t>
      </w:r>
      <w:r>
        <w:rPr>
          <w:rFonts w:ascii="Consolas" w:hAnsi="Consolas"/>
          <w:sz w:val="20"/>
        </w:rPr>
        <w:t>*-lesion</w:t>
      </w:r>
      <w:r>
        <w:t xml:space="preserve"> within anatomy)</w:t>
      </w:r>
    </w:p>
    <w:p>
      <w:pPr>
        <w:pStyle w:val="ListBullet"/>
      </w:pPr>
      <w:r>
        <w:t>Secondary anatomy contrasts (orig vs neuroLIT vs VBT)</w:t>
      </w:r>
    </w:p>
    <w:p>
      <w:pPr>
        <w:pStyle w:val="ListBullet"/>
      </w:pPr>
      <w:r>
        <w:t>Anatomy × ACT interaction 2×3 ANOVA</w:t>
      </w:r>
    </w:p>
    <w:p>
      <w:pPr>
        <w:pStyle w:val="ListBullet"/>
      </w:pPr>
      <w:r>
        <w:t>Per-arm QC aggregation</w:t>
      </w:r>
    </w:p>
    <w:p>
      <w:pPr>
        <w:pStyle w:val="ListBullet"/>
      </w:pPr>
      <w:r>
        <w:t>Failure-mode diagnosis (which subject-arm failed, why)</w:t>
      </w:r>
    </w:p>
    <w:p>
      <w:pPr>
        <w:pStyle w:val="ListBullet"/>
      </w:pPr>
      <w:r>
        <w:t xml:space="preserve">[ ] </w:t>
      </w:r>
      <w:r>
        <w:rPr>
          <w:b/>
        </w:rPr>
        <w:t>QC-by-arm table generated</w:t>
      </w:r>
      <w:r>
        <w:t xml:space="preserve"> — RQ4 primary result</w:t>
      </w:r>
    </w:p>
    <w:p>
      <w:pPr>
        <w:pStyle w:val="Heading3"/>
      </w:pPr>
      <w:r>
        <w:t>Manuscript</w:t>
      </w:r>
    </w:p>
    <w:p>
      <w:pPr>
        <w:pStyle w:val="ListBullet"/>
      </w:pPr>
      <w:r>
        <w:t xml:space="preserve">[ ] </w:t>
      </w:r>
      <w:r>
        <w:rPr>
          <w:b/>
        </w:rPr>
        <w:t>Section-by-section draft</w:t>
      </w:r>
      <w:r>
        <w:t xml:space="preserve"> — flesh out </w:t>
      </w:r>
      <w:r>
        <w:rPr>
          <w:color w:val="1F4E79"/>
          <w:u w:val="single"/>
        </w:rPr>
        <w:t>`manuscript_skeleton.md`</w:t>
      </w:r>
      <w:r>
        <w:t xml:space="preserve"> template</w:t>
      </w:r>
    </w:p>
    <w:p>
      <w:pPr>
        <w:pStyle w:val="ListBullet"/>
      </w:pPr>
      <w:r>
        <w:t xml:space="preserve">[ ] </w:t>
      </w:r>
      <w:r>
        <w:rPr>
          <w:b/>
        </w:rPr>
        <w:t>Figure 1 — pipeline schematic</w:t>
      </w:r>
      <w:r>
        <w:t xml:space="preserve"> (6 arms + optional supplement branches)</w:t>
      </w:r>
    </w:p>
    <w:p>
      <w:pPr>
        <w:pStyle w:val="ListBullet"/>
      </w:pPr>
      <w:r>
        <w:t xml:space="preserve">[ ] </w:t>
      </w:r>
      <w:r>
        <w:rPr>
          <w:b/>
        </w:rPr>
        <w:t>Figure 2 — cohort QC by arm</w:t>
      </w:r>
      <w:r>
        <w:t xml:space="preserve"> (completion rates, streamline counts, empty nodes)</w:t>
      </w:r>
    </w:p>
    <w:p>
      <w:pPr>
        <w:pStyle w:val="ListBullet"/>
      </w:pPr>
      <w:r>
        <w:t xml:space="preserve">[ ] </w:t>
      </w:r>
      <w:r>
        <w:rPr>
          <w:b/>
        </w:rPr>
        <w:t>Figure 3 — factorial sensitivity distributions</w:t>
      </w:r>
      <w:r>
        <w:t xml:space="preserve"> (violin plots of connectome change per contrast)</w:t>
      </w:r>
    </w:p>
    <w:p>
      <w:pPr>
        <w:pStyle w:val="ListBullet"/>
      </w:pPr>
      <w:r>
        <w:t xml:space="preserve">[ ] </w:t>
      </w:r>
      <w:r>
        <w:rPr>
          <w:b/>
        </w:rPr>
        <w:t>Figure 4 — representative cases</w:t>
      </w:r>
      <w:r>
        <w:t xml:space="preserve"> (3 subjects: unilateral / bilateral / large lesion)</w:t>
      </w:r>
    </w:p>
    <w:p>
      <w:pPr>
        <w:pStyle w:val="ListBullet"/>
      </w:pPr>
      <w:r>
        <w:t xml:space="preserve">[ ] </w:t>
      </w:r>
      <w:r>
        <w:rPr>
          <w:b/>
        </w:rPr>
        <w:t>Figure 5 — anatomy × ACT interaction plot</w:t>
      </w:r>
      <w:r>
        <w:t xml:space="preserve"> (or forest plot of contrast effect sizes)</w:t>
      </w:r>
    </w:p>
    <w:p>
      <w:pPr>
        <w:pStyle w:val="ListBullet"/>
      </w:pPr>
      <w:r>
        <w:t xml:space="preserve">[ ] </w:t>
      </w:r>
      <w:r>
        <w:rPr>
          <w:b/>
        </w:rPr>
        <w:t>Table 1 — demographics</w:t>
      </w:r>
      <w:r>
        <w:t xml:space="preserve"> (age, sex, education, GCS, injury mechanism, lesion volume/location)</w:t>
      </w:r>
    </w:p>
    <w:p>
      <w:pPr>
        <w:pStyle w:val="ListBullet"/>
      </w:pPr>
      <w:r>
        <w:t xml:space="preserve">[ ] </w:t>
      </w:r>
      <w:r>
        <w:rPr>
          <w:b/>
        </w:rPr>
        <w:t>Table 2 — per-arm completion</w:t>
      </w:r>
      <w:r>
        <w:t xml:space="preserve"> (subject × arm matrix)</w:t>
      </w:r>
    </w:p>
    <w:p>
      <w:pPr>
        <w:pStyle w:val="ListBullet"/>
      </w:pPr>
      <w:r>
        <w:t xml:space="preserve">[ ] </w:t>
      </w:r>
      <w:r>
        <w:rPr>
          <w:b/>
        </w:rPr>
        <w:t>Table 3 — pre-specified contrasts</w:t>
      </w:r>
      <w:r>
        <w:t xml:space="preserve"> (effect sizes, p-values, adjusted)</w:t>
      </w:r>
    </w:p>
    <w:p>
      <w:pPr>
        <w:pStyle w:val="ListBullet"/>
      </w:pPr>
      <w:r>
        <w:t xml:space="preserve">[ ] </w:t>
      </w:r>
      <w:r>
        <w:rPr>
          <w:b/>
        </w:rPr>
        <w:t>Supplement figures</w:t>
      </w:r>
      <w:r>
        <w:t xml:space="preserve"> (Deep Atropos sensitivity, alternative parcellation, provenance schema, container digests)</w:t>
      </w:r>
    </w:p>
    <w:p>
      <w:pPr>
        <w:pStyle w:val="Heading3"/>
      </w:pPr>
      <w:r>
        <w:t>Administrative</w:t>
      </w:r>
    </w:p>
    <w:p>
      <w:pPr>
        <w:pStyle w:val="ListBullet"/>
      </w:pPr>
      <w:r>
        <w:t xml:space="preserve">[ ] </w:t>
      </w:r>
      <w:r>
        <w:rPr>
          <w:b/>
        </w:rPr>
        <w:t>Author list confirmed</w:t>
      </w:r>
      <w:r>
        <w:t xml:space="preserve"> — PI, analyst, coauthors, contributions per CRediT taxonomy</w:t>
      </w:r>
    </w:p>
    <w:p>
      <w:pPr>
        <w:pStyle w:val="ListBullet"/>
      </w:pPr>
      <w:r>
        <w:t xml:space="preserve">[ ] </w:t>
      </w:r>
      <w:r>
        <w:rPr>
          <w:b/>
        </w:rPr>
        <w:t>Data availability statement</w:t>
      </w:r>
      <w:r>
        <w:t xml:space="preserve"> — BIDS-Derivatives location + policy (Zenodo DOI target for release)</w:t>
      </w:r>
    </w:p>
    <w:p>
      <w:pPr>
        <w:pStyle w:val="ListBullet"/>
      </w:pPr>
      <w:r>
        <w:t xml:space="preserve">[ ] </w:t>
      </w:r>
      <w:r>
        <w:rPr>
          <w:b/>
        </w:rPr>
        <w:t>Code availability</w:t>
      </w:r>
      <w:r>
        <w:t xml:space="preserve"> — GitHub repo tagged for release; container digests</w:t>
      </w:r>
    </w:p>
    <w:p>
      <w:pPr>
        <w:pStyle w:val="ListBullet"/>
      </w:pPr>
      <w:r>
        <w:t xml:space="preserve">[ ] </w:t>
      </w:r>
      <w:r>
        <w:rPr>
          <w:b/>
        </w:rPr>
        <w:t>IRB / TRACK-TBI DUA compliance</w:t>
      </w:r>
      <w:r>
        <w:t xml:space="preserve"> verified for imaging data use</w:t>
      </w:r>
    </w:p>
    <w:p>
      <w:pPr>
        <w:pStyle w:val="ListBullet"/>
      </w:pPr>
      <w:r>
        <w:t xml:space="preserve">[ ] </w:t>
      </w:r>
      <w:r>
        <w:rPr>
          <w:b/>
        </w:rPr>
        <w:t>Cover letter</w:t>
      </w:r>
      <w:r>
        <w:t xml:space="preserve"> — highlights (TBI extension of LeAPP, neuroLIT third arm, cohort scale, reproducibility infra)</w:t>
      </w:r>
    </w:p>
    <w:p>
      <w:pPr>
        <w:pStyle w:val="ListBullet"/>
      </w:pPr>
      <w:r>
        <w:t xml:space="preserve">[ ] </w:t>
      </w:r>
      <w:r>
        <w:rPr>
          <w:b/>
        </w:rPr>
        <w:t>Reference list</w:t>
      </w:r>
      <w:r>
        <w:t xml:space="preserve"> — Zotero / Mendeley library assembled with all analog + methods citations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Should have (for the HBM default target tier)</w:t>
      </w:r>
    </w:p>
    <w:p>
      <w:pPr>
        <w:pStyle w:val="ListBullet"/>
      </w:pPr>
      <w:r>
        <w:t xml:space="preserve">[ ] </w:t>
      </w:r>
      <w:r>
        <w:rPr>
          <w:b/>
        </w:rPr>
        <w:t>Bilateral-lesion subgroup analysis</w:t>
      </w:r>
      <w:r>
        <w:t xml:space="preserve"> as first-class result (not buried in supplement) — TBI-specific finding LeAPP could not produce</w:t>
      </w:r>
    </w:p>
    <w:p>
      <w:pPr>
        <w:pStyle w:val="ListBullet"/>
      </w:pPr>
      <w:r>
        <w:t xml:space="preserve">[ ] </w:t>
      </w:r>
      <w:r>
        <w:rPr>
          <w:b/>
        </w:rPr>
        <w:t>Deep Atropos vs HSVS 5TT sensitivity</w:t>
      </w:r>
      <w:r>
        <w:t xml:space="preserve"> on cohort subset (N ≥ 30 if feasible; falls back to pilot-only)</w:t>
      </w:r>
    </w:p>
    <w:p>
      <w:pPr>
        <w:pStyle w:val="ListBullet"/>
      </w:pPr>
      <w:r>
        <w:t xml:space="preserve">[ ] </w:t>
      </w:r>
      <w:r>
        <w:rPr>
          <w:b/>
        </w:rPr>
        <w:t>Container digest table</w:t>
      </w:r>
      <w:r>
        <w:t xml:space="preserve"> in supplement (SHA per SIF at cohort-processing time)</w:t>
      </w:r>
    </w:p>
    <w:p>
      <w:pPr>
        <w:pStyle w:val="ListBullet"/>
      </w:pPr>
      <w:r>
        <w:t xml:space="preserve">[ ] </w:t>
      </w:r>
      <w:r>
        <w:rPr>
          <w:b/>
        </w:rPr>
        <w:t>Failure-mode analysis</w:t>
      </w:r>
      <w:r>
        <w:t xml:space="preserve"> — per-arm failure characterization if any arm underperforms (VBT-bilateral, midtrans crashes, neuroLIT out-of-distribution)</w:t>
      </w:r>
    </w:p>
    <w:p>
      <w:pPr>
        <w:pStyle w:val="ListBullet"/>
      </w:pPr>
      <w:r>
        <w:t xml:space="preserve">[ ] </w:t>
      </w:r>
      <w:r>
        <w:rPr>
          <w:b/>
        </w:rPr>
        <w:t>Two coauthor rounds</w:t>
      </w:r>
      <w:r>
        <w:t xml:space="preserve"> internally before submission</w:t>
      </w:r>
    </w:p>
    <w:p>
      <w:pPr>
        <w:pStyle w:val="ListBullet"/>
      </w:pPr>
      <w:r>
        <w:t xml:space="preserve">[ ] </w:t>
      </w:r>
      <w:r>
        <w:rPr>
          <w:b/>
        </w:rPr>
        <w:t>Statistical review</w:t>
      </w:r>
      <w:r>
        <w:t xml:space="preserve"> — someone independent to verify statistical framework choices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Stretch (for NeuroImage tier)</w:t>
      </w:r>
    </w:p>
    <w:p>
      <w:r>
        <w:t xml:space="preserve">Each item raises the ceiling from HBM → NeuroImage. Costs vary; see </w:t>
      </w:r>
      <w:r>
        <w:rPr>
          <w:color w:val="1F4E79"/>
          <w:u w:val="single"/>
        </w:rPr>
        <w:t>`differentiation_from_leapp.md`</w:t>
      </w:r>
      <w:r>
        <w:t xml:space="preserve"> for detailed effort estimates and marginal-value analysis.</w:t>
      </w:r>
    </w:p>
    <w:p>
      <w:pPr>
        <w:pStyle w:val="ListBullet"/>
      </w:pPr>
      <w:r>
        <w:t xml:space="preserve">[ ] </w:t>
      </w:r>
      <w:r>
        <w:rPr>
          <w:b/>
        </w:rPr>
        <w:t>Synthetic-lesion validation on CIDUR controls</w:t>
      </w:r>
      <w:r>
        <w:t xml:space="preserve"> (Tier B — LeAPP-parity) — 4 wks; single biggest ceiling-lift</w:t>
      </w:r>
    </w:p>
    <w:p>
      <w:pPr>
        <w:pStyle w:val="ListBullet"/>
      </w:pPr>
      <w:r>
        <w:t xml:space="preserve">[ ] </w:t>
      </w:r>
      <w:r>
        <w:rPr>
          <w:b/>
        </w:rPr>
        <w:t>Cross-parcellation robustness suite</w:t>
      </w:r>
      <w:r>
        <w:t xml:space="preserve"> (Schaefer 200 + 4S 156 alongside DKT) — 1 wk compute</w:t>
      </w:r>
    </w:p>
    <w:p>
      <w:pPr>
        <w:pStyle w:val="ListBullet"/>
      </w:pPr>
      <w:r>
        <w:t xml:space="preserve">[ ] </w:t>
      </w:r>
      <w:r>
        <w:rPr>
          <w:b/>
        </w:rPr>
        <w:t>Edge-level uncertainty quantification</w:t>
      </w:r>
      <w:r>
        <w:t xml:space="preserve"> via bootstrap tractography seeds — 2 wks</w:t>
      </w:r>
    </w:p>
    <w:p>
      <w:pPr>
        <w:pStyle w:val="ListBullet"/>
      </w:pPr>
      <w:r>
        <w:t xml:space="preserve">[ ] </w:t>
      </w:r>
      <w:r>
        <w:rPr>
          <w:b/>
        </w:rPr>
        <w:t>Test-retest reliability</w:t>
      </w:r>
      <w:r>
        <w:t xml:space="preserve"> on repeat-scan subjects if any — free if data exists</w:t>
      </w:r>
    </w:p>
    <w:p>
      <w:pPr>
        <w:pStyle w:val="ListBullet"/>
      </w:pPr>
      <w:r>
        <w:t xml:space="preserve">[ ] </w:t>
      </w:r>
      <w:r>
        <w:rPr>
          <w:b/>
        </w:rPr>
        <w:t>Lesion-topology → arm-recommendation decision tree</w:t>
      </w:r>
      <w:r>
        <w:t xml:space="preserve"> — 1-2 wks post-hoc; high marginal value</w:t>
      </w:r>
    </w:p>
    <w:p>
      <w:pPr>
        <w:pStyle w:val="ListBullet"/>
      </w:pPr>
      <w:r>
        <w:t xml:space="preserve">[ ] </w:t>
      </w:r>
      <w:r>
        <w:rPr>
          <w:b/>
        </w:rPr>
        <w:t>Multi-measure connectome consistency</w:t>
      </w:r>
      <w:r>
        <w:t xml:space="preserve"> (count + SIFT2 + length + FA + MD) — analysis-only</w:t>
      </w:r>
    </w:p>
    <w:p>
      <w:pPr>
        <w:pStyle w:val="ListBullet"/>
      </w:pPr>
      <w:r>
        <w:t xml:space="preserve">[ ] </w:t>
      </w:r>
      <w:r>
        <w:rPr>
          <w:b/>
        </w:rPr>
        <w:t>Cross-site harmonization</w:t>
      </w:r>
      <w:r>
        <w:t xml:space="preserve"> (ComBat or site regressors) — analysis-only</w:t>
      </w:r>
    </w:p>
    <w:p>
      <w:pPr>
        <w:pStyle w:val="ListBullet"/>
      </w:pPr>
      <w:r>
        <w:t xml:space="preserve">[ ] </w:t>
      </w:r>
      <w:r>
        <w:rPr>
          <w:b/>
        </w:rPr>
        <w:t>Prospective preregistration</w:t>
      </w:r>
      <w:r>
        <w:t xml:space="preserve"> on OSF / AsPredicted — 1 day</w:t>
      </w:r>
    </w:p>
    <w:p>
      <w:pPr>
        <w:pStyle w:val="ListBullet"/>
      </w:pPr>
      <w:r>
        <w:t xml:space="preserve">[ ] </w:t>
      </w:r>
      <w:r>
        <w:rPr>
          <w:b/>
        </w:rPr>
        <w:t>Deep Atropos as full third factorial axis</w:t>
      </w:r>
      <w:r>
        <w:t xml:space="preserve"> (3×2×2 = 12 arms) — 2× compute, scope-expanding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Timeline placeholder</w:t>
      </w:r>
    </w:p>
    <w:p>
      <w:r>
        <w:t>Fill in dates as milestones are reached. Firewall = "group results opened" per analysis plan § 11.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Milestone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Target date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Actual date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</w:tr>
      <w:tr>
        <w:tc>
          <w:tcPr>
            <w:tcW w:type="dxa" w:w="2412"/>
          </w:tcPr>
          <w:p>
            <w:r/>
            <w:r>
              <w:t>Cohort BIDS conversion complete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Lesion mask availability audit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Cohort processing begins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Cohort processing complete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Completion/QC-by-arm table complete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Analysis plan sign-off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t>(firewall #1)</w:t>
            </w:r>
          </w:p>
        </w:tc>
      </w:tr>
      <w:tr>
        <w:tc>
          <w:tcPr>
            <w:tcW w:type="dxa" w:w="2412"/>
          </w:tcPr>
          <w:p>
            <w:r/>
            <w:r>
              <w:t>Group results opened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t>(firewall #2 — no plan changes after)</w:t>
            </w:r>
          </w:p>
        </w:tc>
      </w:tr>
      <w:tr>
        <w:tc>
          <w:tcPr>
            <w:tcW w:type="dxa" w:w="2412"/>
          </w:tcPr>
          <w:p>
            <w:r/>
            <w:r>
              <w:t>First manuscript draft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Coauthor round 1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Coauthor round 2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Submission (HBM default)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/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Dependencies flowchart</w:t>
      </w:r>
    </w:p>
    <w:p>
      <w:r>
        <w:rPr>
          <w:rFonts w:ascii="Consolas" w:hAnsi="Consolas"/>
          <w:sz w:val="18"/>
        </w:rPr>
        <w:t>Cohort BIDS + lesion masks</w:t>
      </w:r>
    </w:p>
    <w:p>
      <w:r>
        <w:rPr>
          <w:rFonts w:ascii="Consolas" w:hAnsi="Consolas"/>
          <w:sz w:val="18"/>
        </w:rPr>
        <w:t xml:space="preserve">    │</w:t>
      </w:r>
    </w:p>
    <w:p>
      <w:r>
        <w:rPr>
          <w:rFonts w:ascii="Consolas" w:hAnsi="Consolas"/>
          <w:sz w:val="18"/>
        </w:rPr>
        <w:t xml:space="preserve">    ▼</w:t>
      </w:r>
    </w:p>
    <w:p>
      <w:r>
        <w:rPr>
          <w:rFonts w:ascii="Consolas" w:hAnsi="Consolas"/>
          <w:sz w:val="18"/>
        </w:rPr>
        <w:t>Per-subject 6-arm processing</w:t>
      </w:r>
    </w:p>
    <w:p>
      <w:r>
        <w:rPr>
          <w:rFonts w:ascii="Consolas" w:hAnsi="Consolas"/>
          <w:sz w:val="18"/>
        </w:rPr>
        <w:t xml:space="preserve">    │</w:t>
      </w:r>
    </w:p>
    <w:p>
      <w:r>
        <w:rPr>
          <w:rFonts w:ascii="Consolas" w:hAnsi="Consolas"/>
          <w:sz w:val="18"/>
        </w:rPr>
        <w:t xml:space="preserve">    ├─► Container digests recorded ──────────────┐</w:t>
      </w:r>
    </w:p>
    <w:p>
      <w:r>
        <w:rPr>
          <w:rFonts w:ascii="Consolas" w:hAnsi="Consolas"/>
          <w:sz w:val="18"/>
        </w:rPr>
        <w:t xml:space="preserve">    │                                            │</w:t>
      </w:r>
    </w:p>
    <w:p>
      <w:r>
        <w:rPr>
          <w:rFonts w:ascii="Consolas" w:hAnsi="Consolas"/>
          <w:sz w:val="18"/>
        </w:rPr>
        <w:t xml:space="preserve">    ▼                                            │</w:t>
      </w:r>
    </w:p>
    <w:p>
      <w:r>
        <w:rPr>
          <w:rFonts w:ascii="Consolas" w:hAnsi="Consolas"/>
          <w:sz w:val="18"/>
        </w:rPr>
        <w:t>Per-arm QC pass                                  │</w:t>
      </w:r>
    </w:p>
    <w:p>
      <w:r>
        <w:rPr>
          <w:rFonts w:ascii="Consolas" w:hAnsi="Consolas"/>
          <w:sz w:val="18"/>
        </w:rPr>
        <w:t xml:space="preserve">    │                                            │</w:t>
      </w:r>
    </w:p>
    <w:p>
      <w:r>
        <w:rPr>
          <w:rFonts w:ascii="Consolas" w:hAnsi="Consolas"/>
          <w:sz w:val="18"/>
        </w:rPr>
        <w:t xml:space="preserve">    ▼                                            │</w:t>
      </w:r>
    </w:p>
    <w:p>
      <w:r>
        <w:rPr>
          <w:rFonts w:ascii="Consolas" w:hAnsi="Consolas"/>
          <w:sz w:val="18"/>
        </w:rPr>
        <w:t>Cohort completion / QC-by-arm table              │</w:t>
      </w:r>
    </w:p>
    <w:p>
      <w:r>
        <w:rPr>
          <w:rFonts w:ascii="Consolas" w:hAnsi="Consolas"/>
          <w:sz w:val="18"/>
        </w:rPr>
        <w:t xml:space="preserve">    │                                            │</w:t>
      </w:r>
    </w:p>
    <w:p>
      <w:r>
        <w:rPr>
          <w:rFonts w:ascii="Consolas" w:hAnsi="Consolas"/>
          <w:sz w:val="18"/>
        </w:rPr>
        <w:t xml:space="preserve">    ▼                                            │</w:t>
      </w:r>
    </w:p>
    <w:p>
      <w:r>
        <w:rPr>
          <w:rFonts w:ascii="Consolas" w:hAnsi="Consolas"/>
          <w:sz w:val="18"/>
        </w:rPr>
        <w:t>Analysis plan sign-off ────────► FIREWALL 1     │</w:t>
      </w:r>
    </w:p>
    <w:p>
      <w:r>
        <w:rPr>
          <w:rFonts w:ascii="Consolas" w:hAnsi="Consolas"/>
          <w:sz w:val="18"/>
        </w:rPr>
        <w:t xml:space="preserve">    │                                            │</w:t>
      </w:r>
    </w:p>
    <w:p>
      <w:r>
        <w:rPr>
          <w:rFonts w:ascii="Consolas" w:hAnsi="Consolas"/>
          <w:sz w:val="18"/>
        </w:rPr>
        <w:t xml:space="preserve">    ▼                                            │</w:t>
      </w:r>
    </w:p>
    <w:p>
      <w:r>
        <w:rPr>
          <w:rFonts w:ascii="Consolas" w:hAnsi="Consolas"/>
          <w:sz w:val="18"/>
        </w:rPr>
        <w:t>Group-level factorial analyses                   │</w:t>
      </w:r>
    </w:p>
    <w:p>
      <w:r>
        <w:rPr>
          <w:rFonts w:ascii="Consolas" w:hAnsi="Consolas"/>
          <w:sz w:val="18"/>
        </w:rPr>
        <w:t xml:space="preserve">    │                                            │</w:t>
      </w:r>
    </w:p>
    <w:p>
      <w:r>
        <w:rPr>
          <w:rFonts w:ascii="Consolas" w:hAnsi="Consolas"/>
          <w:sz w:val="18"/>
        </w:rPr>
        <w:t xml:space="preserve">    ▼                                            │</w:t>
      </w:r>
    </w:p>
    <w:p>
      <w:r>
        <w:rPr>
          <w:rFonts w:ascii="Consolas" w:hAnsi="Consolas"/>
          <w:sz w:val="18"/>
        </w:rPr>
        <w:t>Effect sizes + significance ──► FIREWALL 2      │</w:t>
      </w:r>
    </w:p>
    <w:p>
      <w:r>
        <w:rPr>
          <w:rFonts w:ascii="Consolas" w:hAnsi="Consolas"/>
          <w:sz w:val="18"/>
        </w:rPr>
        <w:t xml:space="preserve">                                (venue decision)  │</w:t>
      </w:r>
    </w:p>
    <w:p>
      <w:r>
        <w:rPr>
          <w:rFonts w:ascii="Consolas" w:hAnsi="Consolas"/>
          <w:sz w:val="18"/>
        </w:rPr>
        <w:t xml:space="preserve">    │                                            │</w:t>
      </w:r>
    </w:p>
    <w:p>
      <w:r>
        <w:rPr>
          <w:rFonts w:ascii="Consolas" w:hAnsi="Consolas"/>
          <w:sz w:val="18"/>
        </w:rPr>
        <w:t xml:space="preserve">    ▼                                            │</w:t>
      </w:r>
    </w:p>
    <w:p>
      <w:r>
        <w:rPr>
          <w:rFonts w:ascii="Consolas" w:hAnsi="Consolas"/>
          <w:sz w:val="18"/>
        </w:rPr>
        <w:t>Figures + tables ◄───────────────────────────────┘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│</w:t>
      </w:r>
    </w:p>
    <w:p>
      <w:r>
        <w:rPr>
          <w:rFonts w:ascii="Consolas" w:hAnsi="Consolas"/>
          <w:sz w:val="18"/>
        </w:rPr>
        <w:t xml:space="preserve">    ▼</w:t>
      </w:r>
    </w:p>
    <w:p>
      <w:r>
        <w:rPr>
          <w:rFonts w:ascii="Consolas" w:hAnsi="Consolas"/>
          <w:sz w:val="18"/>
        </w:rPr>
        <w:t>First manuscript draft</w:t>
      </w:r>
    </w:p>
    <w:p>
      <w:r>
        <w:rPr>
          <w:rFonts w:ascii="Consolas" w:hAnsi="Consolas"/>
          <w:sz w:val="18"/>
        </w:rPr>
        <w:t xml:space="preserve">    │</w:t>
      </w:r>
    </w:p>
    <w:p>
      <w:r>
        <w:rPr>
          <w:rFonts w:ascii="Consolas" w:hAnsi="Consolas"/>
          <w:sz w:val="18"/>
        </w:rPr>
        <w:t xml:space="preserve">    ▼</w:t>
      </w:r>
    </w:p>
    <w:p>
      <w:r>
        <w:rPr>
          <w:rFonts w:ascii="Consolas" w:hAnsi="Consolas"/>
          <w:sz w:val="18"/>
        </w:rPr>
        <w:t>Coauthor rounds</w:t>
      </w:r>
    </w:p>
    <w:p>
      <w:r>
        <w:rPr>
          <w:rFonts w:ascii="Consolas" w:hAnsi="Consolas"/>
          <w:sz w:val="18"/>
        </w:rPr>
        <w:t xml:space="preserve">    │</w:t>
      </w:r>
    </w:p>
    <w:p>
      <w:r>
        <w:rPr>
          <w:rFonts w:ascii="Consolas" w:hAnsi="Consolas"/>
          <w:sz w:val="18"/>
        </w:rPr>
        <w:t xml:space="preserve">    ▼</w:t>
      </w:r>
    </w:p>
    <w:p>
      <w:r>
        <w:rPr>
          <w:rFonts w:ascii="Consolas" w:hAnsi="Consolas"/>
          <w:sz w:val="18"/>
        </w:rPr>
        <w:t>Submission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4824"/>
          </w:tcPr>
          <w:p>
            <w:r/>
            <w:r>
              <w:t>Cohort N &lt; 40 per arm</w:t>
            </w:r>
          </w:p>
        </w:tc>
        <w:tc>
          <w:tcPr>
            <w:tcW w:type="dxa" w:w="4824"/>
          </w:tcPr>
          <w:p>
            <w:r/>
            <w:r>
              <w:t>Report as failure-mode analysis; consider dropping low-N arm from primary; fall back to NeuroImage: Reports</w:t>
            </w:r>
          </w:p>
        </w:tc>
      </w:tr>
      <w:tr>
        <w:tc>
          <w:tcPr>
            <w:tcW w:type="dxa" w:w="4824"/>
          </w:tcPr>
          <w:p>
            <w:r/>
            <w:r>
              <w:t>VBT systematic failures on bilateral cases</w:t>
            </w:r>
          </w:p>
        </w:tc>
        <w:tc>
          <w:tcPr>
            <w:tcW w:type="dxa" w:w="4824"/>
          </w:tcPr>
          <w:p>
            <w:r/>
            <w:r>
              <w:t>Document as first-class finding; validate as TBI-specific limitation of LeAPP's method</w:t>
            </w:r>
          </w:p>
        </w:tc>
      </w:tr>
      <w:tr>
        <w:tc>
          <w:tcPr>
            <w:tcW w:type="dxa" w:w="4824"/>
          </w:tcPr>
          <w:p>
            <w:r/>
            <w:r>
              <w:t>neuroLIT out-of-distribution behavior</w:t>
            </w:r>
          </w:p>
        </w:tc>
        <w:tc>
          <w:tcPr>
            <w:tcW w:type="dxa" w:w="4824"/>
          </w:tcPr>
          <w:p>
            <w:r/>
            <w:r>
              <w:t>Sensitivity analysis in supplement; may motivate future retraining</w:t>
            </w:r>
          </w:p>
        </w:tc>
      </w:tr>
      <w:tr>
        <w:tc>
          <w:tcPr>
            <w:tcW w:type="dxa" w:w="4824"/>
          </w:tcPr>
          <w:p>
            <w:r/>
            <w:r>
              <w:t>Deep Atropos supplement N insufficient</w:t>
            </w:r>
          </w:p>
        </w:tc>
        <w:tc>
          <w:tcPr>
            <w:tcW w:type="dxa" w:w="4824"/>
          </w:tcPr>
          <w:p>
            <w:r/>
            <w:r>
              <w:t>Fold into pilot-only qualitative supplement</w:t>
            </w:r>
          </w:p>
        </w:tc>
      </w:tr>
      <w:tr>
        <w:tc>
          <w:tcPr>
            <w:tcW w:type="dxa" w:w="4824"/>
          </w:tcPr>
          <w:p>
            <w:r/>
            <w:r>
              <w:t>Reviewer perceives paper as "just LeAPP re-run on TBI"</w:t>
            </w:r>
          </w:p>
        </w:tc>
        <w:tc>
          <w:tcPr>
            <w:tcW w:type="dxa" w:w="4824"/>
          </w:tcPr>
          <w:p>
            <w:r/>
            <w:r>
              <w:t>Foreground bilateral handling + neuroLIT + reproducibility infrastructure in intro</w:t>
            </w:r>
          </w:p>
        </w:tc>
      </w:tr>
      <w:tr>
        <w:tc>
          <w:tcPr>
            <w:tcW w:type="dxa" w:w="4824"/>
          </w:tcPr>
          <w:p>
            <w:r/>
            <w:r>
              <w:t>Cross-site heterogeneity confounds arm effects</w:t>
            </w:r>
          </w:p>
        </w:tc>
        <w:tc>
          <w:tcPr>
            <w:tcW w:type="dxa" w:w="4824"/>
          </w:tcPr>
          <w:p>
            <w:r/>
            <w:r>
              <w:t>Cross-site harmonization (Tier 2 addition)</w:t>
            </w:r>
          </w:p>
        </w:tc>
      </w:tr>
    </w:tbl>
    <w:p/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See also</w:t>
      </w:r>
    </w:p>
    <w:p>
      <w:pPr>
        <w:pStyle w:val="ListBullet"/>
      </w:pPr>
      <w:r>
        <w:rPr>
          <w:color w:val="1F4E79"/>
          <w:u w:val="single"/>
        </w:rPr>
        <w:t>`index.md`</w:t>
      </w:r>
      <w:r>
        <w:t xml:space="preserve"> — cover doc + cross-tier paper matrix</w:t>
      </w:r>
    </w:p>
    <w:p>
      <w:pPr>
        <w:pStyle w:val="ListBullet"/>
      </w:pPr>
      <w:r>
        <w:rPr>
          <w:color w:val="1F4E79"/>
          <w:u w:val="single"/>
        </w:rPr>
        <w:t>`analysis_plan.md`</w:t>
      </w:r>
      <w:r>
        <w:t xml:space="preserve"> — 13-section pre-registration template</w:t>
      </w:r>
    </w:p>
    <w:p>
      <w:pPr>
        <w:pStyle w:val="ListBullet"/>
      </w:pPr>
      <w:r>
        <w:rPr>
          <w:color w:val="1F4E79"/>
          <w:u w:val="single"/>
        </w:rPr>
        <w:t>`completion_tracker.md`</w:t>
      </w:r>
      <w:r>
        <w:t xml:space="preserve"> — per-subject × per-arm tracker</w:t>
      </w:r>
    </w:p>
    <w:p>
      <w:pPr>
        <w:pStyle w:val="ListBullet"/>
      </w:pPr>
      <w:r>
        <w:rPr>
          <w:color w:val="1F4E79"/>
          <w:u w:val="single"/>
        </w:rPr>
        <w:t>`manuscript_skeleton.md`</w:t>
      </w:r>
      <w:r>
        <w:t xml:space="preserve"> — writing template</w:t>
      </w:r>
    </w:p>
    <w:p>
      <w:pPr>
        <w:pStyle w:val="ListBullet"/>
      </w:pPr>
      <w:r>
        <w:rPr>
          <w:color w:val="1F4E79"/>
          <w:u w:val="single"/>
        </w:rPr>
        <w:t>`differentiation_from_leapp.md`</w:t>
      </w:r>
      <w:r>
        <w:t xml:space="preserve"> — ranked additions menu</w:t>
      </w:r>
    </w:p>
    <w:p>
      <w:pPr>
        <w:pStyle w:val="ListBullet"/>
      </w:pPr>
      <w:r>
        <w:rPr>
          <w:color w:val="1F4E79"/>
          <w:u w:val="single"/>
        </w:rPr>
        <w:t>`leapp_lineage.md`</w:t>
      </w:r>
      <w:r>
        <w:t xml:space="preserve"> — LeAPP + lineage deep summary</w:t>
      </w:r>
    </w:p>
    <w:p>
      <w:pPr>
        <w:pStyle w:val="ListBullet"/>
      </w:pPr>
      <w:r>
        <w:rPr>
          <w:color w:val="1F4E79"/>
          <w:u w:val="single"/>
        </w:rPr>
        <w:t>`neuroimage_prerequisites.md`</w:t>
      </w:r>
      <w:r>
        <w:t xml:space="preserve"> — three gates for NeuroImage tier</w:t>
      </w:r>
    </w:p>
    <w:p>
      <w:pPr>
        <w:pStyle w:val="ListBullet"/>
      </w:pPr>
      <w:r>
        <w:rPr>
          <w:color w:val="1F4E79"/>
          <w:u w:val="single"/>
        </w:rPr>
        <w:t>`../distance_novelty.md`</w:t>
      </w:r>
      <w:r>
        <w:t xml:space="preserve"> — contribution framework and consolidated list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