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title: From warp posteriors to DKT edge probabilities</w:t>
      </w:r>
    </w:p>
    <w:p>
      <w:r>
        <w:t>subtitle: Skeleton only — do not fill results until PROTOCOL wins</w:t>
      </w:r>
    </w:p>
    <w:p>
      <w:r>
        <w:t>date: 17 October 2026</w:t>
      </w:r>
    </w:p>
    <w:p/>
    <w:p>
      <w:pPr>
        <w:pStyle w:val="Heading1"/>
      </w:pPr>
      <w:r>
        <w:t>From image-registration uncertainty to calibrated DKT edge probabilities</w:t>
      </w:r>
    </w:p>
    <w:p>
      <w:r>
        <w:rPr>
          <w:b/>
        </w:rPr>
        <w:t>Skeleton.</w:t>
      </w:r>
      <w:r>
        <w:t xml:space="preserve"> Not a submission. Not \(\hat U\) until </w:t>
      </w:r>
      <w:r>
        <w:rPr>
          <w:rFonts w:ascii="Courier New" w:hAnsi="Courier New"/>
        </w:rPr>
        <w:t>mapping_uhat/PROTOCOL.md</w:t>
      </w:r>
      <w:r>
        <w:t xml:space="preserve"> says so.  </w:t>
      </w:r>
    </w:p>
    <w:p>
      <w:r>
        <w:rPr>
          <w:b/>
        </w:rPr>
        <w:t>Not \(U\).</w:t>
      </w:r>
      <w:r>
        <w:t xml:space="preserve"> \(U\) is the planted-shift ranker (</w:t>
      </w:r>
      <w:r>
        <w:rPr>
          <w:rFonts w:ascii="Courier New" w:hAnsi="Courier New"/>
        </w:rPr>
        <w:t>mapping_u/</w:t>
      </w:r>
      <w:r>
        <w:t xml:space="preserve">).  </w:t>
      </w:r>
    </w:p>
    <w:p>
      <w:r>
        <w:rPr>
          <w:b/>
        </w:rPr>
        <w:t>Not GOSE. Not a new \(D\).</w:t>
      </w:r>
      <w:r>
        <w:t xml:space="preserve"> Local TrackTBI-Sub only.</w:t>
      </w:r>
    </w:p>
    <w:p>
      <w:pPr>
        <w:pStyle w:val="Heading2"/>
      </w:pPr>
      <w:r>
        <w:t>Title options (after results)</w:t>
      </w:r>
    </w:p>
    <w:p>
      <w:pPr>
        <w:pStyle w:val="ListBullet"/>
      </w:pPr>
      <w:r>
        <w:t>If proxy only: “An ensemble leftover T1–DWI warp, propagated through a frozen DKT connectome”</w:t>
      </w:r>
    </w:p>
    <w:p>
      <w:pPr>
        <w:pStyle w:val="ListBullet"/>
      </w:pPr>
      <w:r>
        <w:t>If calibrated + independent leftover: “Calibrated mapping uncertainty on DKT edges (\(\hat U\))”</w:t>
      </w:r>
    </w:p>
    <w:p>
      <w:pPr>
        <w:pStyle w:val="Heading2"/>
      </w:pPr>
      <w:r>
        <w:t>Abstract (slots)</w:t>
      </w:r>
    </w:p>
    <w:p>
      <w:r>
        <w:t xml:space="preserve">Ordinary QC treats \(\hat C\) as clean. Image-registration UQ exists (Simpson 2012; Dalca 2019; Grzech 2021) but stops at </w:t>
      </w:r>
      <w:r>
        <w:rPr>
          <w:b/>
        </w:rPr>
        <w:t>voxels</w:t>
      </w:r>
      <w:r>
        <w:t xml:space="preserve">. We ask whether samples from a leftover warp on existing T1w–dwiref, pushed through a </w:t>
      </w:r>
      <w:r>
        <w:rPr>
          <w:b/>
        </w:rPr>
        <w:t>frozen</w:t>
      </w:r>
      <w:r>
        <w:t xml:space="preserve"> iFOD2 tractogram, yield </w:t>
      </w:r>
      <w:r>
        <w:rPr>
          <w:b/>
        </w:rPr>
        <w:t>calibrated</w:t>
      </w:r>
      <w:r>
        <w:t xml:space="preserve"> per-edge probabilities. [n, method, ECE / coverage]. This is / is not \(\hat U\). </w:t>
      </w:r>
      <w:r>
        <w:rPr>
          <w:rFonts w:ascii="Courier New" w:hAnsi="Courier New"/>
        </w:rPr>
        <w:t>radial_4</w:t>
      </w:r>
      <w:r>
        <w:t xml:space="preserve"> unchanged.</w:t>
      </w:r>
    </w:p>
    <w:p>
      <w:pPr>
        <w:pStyle w:val="Heading2"/>
      </w:pPr>
      <w:r>
        <w:t>1. Introduction</w:t>
      </w:r>
    </w:p>
    <w:p>
      <w:pPr>
        <w:pStyle w:val="ListBullet"/>
      </w:pPr>
      <w:r>
        <w:t xml:space="preserve">QSIPrep / ACT / </w:t>
      </w:r>
      <w:r>
        <w:rPr>
          <w:rFonts w:ascii="Courier New" w:hAnsi="Courier New"/>
        </w:rPr>
        <w:t>tck2connectome</w:t>
      </w:r>
      <w:r>
        <w:t xml:space="preserve"> exist (Cieslak 2021; Smith 2012; Tournier 2019).</w:t>
      </w:r>
    </w:p>
    <w:p>
      <w:pPr>
        <w:pStyle w:val="ListBullet"/>
      </w:pPr>
      <w:r>
        <w:t>Leftover T1–DWI moves assignment (Yeh 2021; MRtrix docs). Sensitivity occupied (Qi 2018; Buchanan; Greene; our \(U\)).</w:t>
      </w:r>
    </w:p>
    <w:p>
      <w:pPr>
        <w:pStyle w:val="ListBullet"/>
      </w:pPr>
      <w:r>
        <w:t xml:space="preserve">Image UQ occupied (table in </w:t>
      </w:r>
      <w:r>
        <w:rPr>
          <w:rFonts w:ascii="Courier New" w:hAnsi="Courier New"/>
        </w:rPr>
        <w:t>literature.md</w:t>
      </w:r>
      <w:r>
        <w:t>). Gap: no \(P(\text{edge} \mid \text{leftover})\).</w:t>
      </w:r>
    </w:p>
    <w:p>
      <w:pPr>
        <w:pStyle w:val="ListBullet"/>
      </w:pPr>
      <w:r>
        <w:t xml:space="preserve">Contribution, if any: </w:t>
      </w:r>
      <w:r>
        <w:rPr>
          <w:b/>
        </w:rPr>
        <w:t>propagation + calibration</w:t>
      </w:r>
      <w:r>
        <w:t>, not a new registration CNN.</w:t>
      </w:r>
    </w:p>
    <w:p>
      <w:pPr>
        <w:pStyle w:val="Heading2"/>
      </w:pPr>
      <w:r>
        <w:t>2. Methods (lock before running)</w:t>
      </w:r>
    </w:p>
    <w:p>
      <w:r>
        <w:t xml:space="preserve">Write from </w:t>
      </w:r>
      <w:r>
        <w:rPr>
          <w:rFonts w:ascii="Courier New" w:hAnsi="Courier New"/>
        </w:rPr>
        <w:t>mapping_uhat/FORMULA.md</w:t>
      </w:r>
      <w:r>
        <w:t xml:space="preserve"> and </w:t>
      </w:r>
      <w:r>
        <w:rPr>
          <w:rFonts w:ascii="Courier New" w:hAnsi="Courier New"/>
        </w:rPr>
        <w:t>PROTOCOL.md</w:t>
      </w:r>
      <w:r>
        <w:t>. Do not invent knobs after ECE.</w:t>
      </w:r>
    </w:p>
    <w:p>
      <w:pPr>
        <w:pStyle w:val="ListBullet"/>
      </w:pPr>
      <w:r>
        <w:t xml:space="preserve">Freeze = \(U\) freeze. QC-PASS only. </w:t>
      </w:r>
      <w:r>
        <w:rPr>
          <w:rFonts w:ascii="Courier New" w:hAnsi="Courier New"/>
        </w:rPr>
        <w:t>radial_4</w:t>
      </w:r>
      <w:r>
        <w:t xml:space="preserve"> (Yeh 2019: assignment matters; we do not change it).</w:t>
      </w:r>
    </w:p>
    <w:p>
      <w:pPr>
        <w:pStyle w:val="ListBullet"/>
      </w:pPr>
      <w:r>
        <w:t xml:space="preserve">Residual: ANTs \(\phi_k\) on already-aligned T1w vs dwiref (Hub 2009; Kybic 2010; Avants 2011). </w:t>
      </w:r>
      <w:r>
        <w:rPr>
          <w:b/>
        </w:rPr>
        <w:t>Not</w:t>
      </w:r>
      <w:r>
        <w:t xml:space="preserve"> the applied </w:t>
      </w:r>
      <w:r>
        <w:rPr>
          <w:rFonts w:ascii="Courier New" w:hAnsi="Courier New"/>
        </w:rPr>
        <w:t>.mat</w:t>
      </w:r>
      <w:r>
        <w:t>. Not Simpson/VoxelMorph unless A10.</w:t>
      </w:r>
    </w:p>
    <w:p>
      <w:pPr>
        <w:pStyle w:val="ListBullet"/>
      </w:pPr>
      <w:r>
        <w:t>\(K=50\) label-only warps (</w:t>
      </w:r>
      <w:r>
        <w:rPr>
          <w:rFonts w:ascii="Courier New" w:hAnsi="Courier New"/>
        </w:rPr>
        <w:t>GenericLabel</w:t>
      </w:r>
      <w:r>
        <w:t xml:space="preserve">). Count≥10. </w:t>
      </w:r>
      <w:r>
        <w:rPr>
          <w:rFonts w:ascii="Courier New" w:hAnsi="Courier New"/>
        </w:rPr>
        <w:t>proxyUhat</w:t>
      </w:r>
      <w:r>
        <w:t xml:space="preserve"> = empirical frequency of \(\mathrm{relchange}&gt;0.25\).</w:t>
      </w:r>
    </w:p>
    <w:p>
      <w:pPr>
        <w:pStyle w:val="ListBullet"/>
      </w:pPr>
      <w:r>
        <w:t>Honesty: \(\texttt{proxyUhat}=P(\mathrm{moved}\mid\mathrm{ensemble})\). Gold \(\hat U\) only if A8 + A13.</w:t>
      </w:r>
    </w:p>
    <w:p>
      <w:pPr>
        <w:pStyle w:val="ListBullet"/>
      </w:pPr>
      <w:r>
        <w:t xml:space="preserve">Calibration: reliability diagram (DeGroot &amp; Fienberg 1983), ECE \(M=10\) (Naeini 2015; Guo 2017). Exam A uses locked \(U\) 1 mm </w:t>
      </w:r>
      <w:r>
        <w:rPr>
          <w:rFonts w:ascii="Courier New" w:hAnsi="Courier New"/>
        </w:rPr>
        <w:t>moved</w:t>
      </w:r>
      <w:r>
        <w:t xml:space="preserve"> labels (not leftover truth). Exam B plants one translation sized from A5 \(\{m_k\}\). 80% bin \(=[0.8,0.9)\), \(n\ge20\), ±15 protocol band. Held-out </w:t>
      </w:r>
      <w:r>
        <w:rPr>
          <w:b/>
        </w:rPr>
        <w:t>sessions</w:t>
      </w:r>
      <w:r>
        <w:t>.</w:t>
      </w:r>
    </w:p>
    <w:p>
      <w:pPr>
        <w:pStyle w:val="ListBullet"/>
      </w:pPr>
      <w:r>
        <w:t>Independent leftover required before the name \(\hat U\) (Buchanan 2014 / Greene 2018 occupy sensitivity, not this \(P\)).</w:t>
      </w:r>
    </w:p>
    <w:p>
      <w:pPr>
        <w:pStyle w:val="ListBullet"/>
      </w:pPr>
      <w:r>
        <w:t>Synthetic phantom = exam drawn from the A5 mm law only.</w:t>
      </w:r>
    </w:p>
    <w:p>
      <w:pPr>
        <w:pStyle w:val="Heading2"/>
      </w:pPr>
      <w:r>
        <w:t>3. Results (empty)</w:t>
      </w:r>
    </w:p>
    <w:p>
      <w:r>
        <w:t>Do not invent numbers. Report: ensemble magnitude (mm), vs \(U\) ranks, calibration, kill/win from PROTOCOL.</w:t>
      </w:r>
    </w:p>
    <w:p>
      <w:pPr>
        <w:pStyle w:val="Heading2"/>
      </w:pPr>
      <w:r>
        <w:t>4. Discussion</w:t>
      </w:r>
    </w:p>
    <w:p>
      <w:r>
        <w:t xml:space="preserve">If win: </w:t>
      </w:r>
      <w:r>
        <w:rPr>
          <w:i/>
        </w:rPr>
        <w:t>NeuroImage</w:t>
      </w:r>
      <w:r>
        <w:t xml:space="preserve"> methods; still not \(\hat U\) without independent leftover.  </w:t>
      </w:r>
    </w:p>
    <w:p>
      <w:r>
        <w:t xml:space="preserve">If kill: keep \(U\); do not rename.  </w:t>
      </w:r>
    </w:p>
    <w:p>
      <w:r>
        <w:t xml:space="preserve">Not </w:t>
      </w:r>
      <w:r>
        <w:rPr>
          <w:i/>
        </w:rPr>
        <w:t>Brain</w:t>
      </w:r>
      <w:r>
        <w:t>. Not Nature.</w:t>
      </w:r>
    </w:p>
    <w:p>
      <w:pPr>
        <w:pStyle w:val="Heading2"/>
      </w:pPr>
      <w:r>
        <w:t>5. Data and code</w:t>
      </w:r>
    </w:p>
    <w:p>
      <w:r>
        <w:rPr>
          <w:rFonts w:ascii="Courier New" w:hAnsi="Courier New"/>
        </w:rPr>
        <w:t>mapping_uhat/</w:t>
      </w:r>
      <w:r>
        <w:t xml:space="preserve"> (when written). TRACK-TBI inputs stay local. Public demos only if a repo is ever opened.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