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LQT — Lesion Quantification Toolkit + normative-atlas disconnection</w:t>
      </w:r>
    </w:p>
    <w:p>
      <w:r>
        <w:rPr>
          <w:b/>
        </w:rPr>
        <w:t>Purpose:</w:t>
      </w:r>
      <w:r>
        <w:t xml:space="preserve"> reference summary of the Lesion Quantification Toolkit (LQT) and the broader </w:t>
      </w:r>
      <w:r>
        <w:rPr>
          <w:b/>
        </w:rPr>
        <w:t>normative-atlas structural disconnection</w:t>
      </w:r>
      <w:r>
        <w:t xml:space="preserve"> family of methods that LQT belongs to. Written for Paper 2 planning — the head-to-head comparator our patient-specific lesion-aware pipeline is measured against.</w:t>
      </w:r>
    </w:p>
    <w:p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paper2_disconnectome_outcomes.md</w:t>
      </w:r>
      <w:r>
        <w:t xml:space="preserve"> · </w:t>
      </w:r>
      <w:r>
        <w:rPr>
          <w:color w:val="1F4E79"/>
          <w:u w:val="single"/>
        </w:rPr>
        <w:t>journal_tier.md</w:t>
      </w:r>
      <w:r>
        <w:t xml:space="preserve"> · </w:t>
      </w:r>
      <w:r>
        <w:rPr>
          <w:color w:val="1F4E79"/>
          <w:u w:val="single"/>
        </w:rPr>
        <w:t>Griffis_later.md</w:t>
      </w:r>
      <w:r>
        <w:t xml:space="preserve"> · </w:t>
      </w:r>
      <w:r>
        <w:rPr>
          <w:color w:val="1F4E79"/>
          <w:u w:val="single"/>
        </w:rPr>
        <w:t>../lesion_aware.md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LQT is</w:t>
      </w:r>
    </w:p>
    <w:p>
      <w:pPr>
        <w:pStyle w:val="ListBullet"/>
      </w:pPr>
      <w:r>
        <w:rPr>
          <w:b/>
        </w:rPr>
        <w:t>Developer / lab:</w:t>
      </w:r>
      <w:r>
        <w:t xml:space="preserve"> Joseph Griffis, Corbetta lab (Washington University).</w:t>
      </w:r>
    </w:p>
    <w:p>
      <w:pPr>
        <w:pStyle w:val="ListBullet"/>
      </w:pPr>
      <w:r>
        <w:rPr>
          <w:b/>
        </w:rPr>
        <w:t>Reference:</w:t>
      </w:r>
      <w:r>
        <w:t xml:space="preserve"> Griffis, Metcalf, Corbetta, Shulman (2021), </w:t>
      </w:r>
      <w:r>
        <w:rPr>
          <w:i/>
        </w:rPr>
        <w:t>Lesion Quantification Toolkit: A MATLAB software tool for estimating grey matter damage and white matter disconnections in patients with focal brain lesions.</w:t>
      </w:r>
      <w:r>
        <w:t xml:space="preserve"> </w:t>
      </w:r>
      <w:r>
        <w:rPr>
          <w:b/>
        </w:rPr>
        <w:t>NeuroImage: Clinical 30:102639.</w:t>
      </w:r>
      <w:r>
        <w:t xml:space="preserve"> DOI: </w:t>
      </w:r>
      <w:r>
        <w:rPr>
          <w:color w:val="1F4E79"/>
          <w:u w:val="single"/>
        </w:rPr>
        <w:t>10.1016/j.nicl.2021.102639</w:t>
      </w:r>
    </w:p>
    <w:p>
      <w:pPr>
        <w:pStyle w:val="ListBullet"/>
      </w:pPr>
      <w:r>
        <w:rPr>
          <w:b/>
        </w:rPr>
        <w:t>Repo:</w:t>
      </w:r>
      <w:r>
        <w:t xml:space="preserve"> </w:t>
      </w:r>
      <w:r>
        <w:rPr>
          <w:color w:val="1F4E79"/>
          <w:u w:val="single"/>
        </w:rPr>
        <w:t>https://github.com/JDGriffis/lesion-quantification-toolkit</w:t>
      </w:r>
    </w:p>
    <w:p>
      <w:pPr>
        <w:pStyle w:val="ListBullet"/>
      </w:pPr>
      <w:r>
        <w:rPr>
          <w:b/>
        </w:rPr>
        <w:t>Language:</w:t>
      </w:r>
      <w:r>
        <w:t xml:space="preserve"> MATLAB (primary); third-party Python wrappers exist.</w:t>
      </w:r>
    </w:p>
    <w:p>
      <w:pPr>
        <w:pStyle w:val="ListBullet"/>
      </w:pPr>
      <w:r>
        <w:rPr>
          <w:b/>
        </w:rPr>
        <w:t>License:</w:t>
      </w:r>
      <w:r>
        <w:t xml:space="preserve"> open source (GPL).</w:t>
      </w:r>
    </w:p>
    <w:p>
      <w:r>
        <w:t xml:space="preserve">LQT is a packaged implementation of the </w:t>
      </w:r>
      <w:r>
        <w:rPr>
          <w:b/>
        </w:rPr>
        <w:t>normative-atlas structural disconnection</w:t>
      </w:r>
      <w:r>
        <w:t xml:space="preserve"> approach that Griffis's 2019 Cell Reports paper used informally, then hardened into a distributable tool in 2021. It became one of the two field-standard tools for computing structural disconnection from a lesion mask alone (the other being BCBtoolkit — see below).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normative-atlas structural disconnection approach</w:t>
      </w:r>
    </w:p>
    <w:p>
      <w:r>
        <w:t>Conceptually, all normative-atlas SDC tools follow the same recipe:</w:t>
      </w:r>
    </w:p>
    <w:p>
      <w:pPr>
        <w:pStyle w:val="ListNumber"/>
      </w:pPr>
      <w:r>
        <w:rPr>
          <w:b/>
        </w:rPr>
        <w:t>Input:</w:t>
      </w:r>
      <w:r>
        <w:t xml:space="preserve"> a binary lesion mask in a standard space (MNI 152).</w:t>
      </w:r>
    </w:p>
    <w:p>
      <w:pPr>
        <w:pStyle w:val="ListNumber"/>
      </w:pPr>
      <w:r>
        <w:rPr>
          <w:b/>
        </w:rPr>
        <w:t>Reference:</w:t>
      </w:r>
      <w:r>
        <w:t xml:space="preserve"> a normative white-matter tractography atlas built from healthy participants — typically the HCP-842 tractogram (Yeh et al. 2018, N=842 HCP subjects, ~500K streamlines per subject aggregated into a canonical population atlas).</w:t>
      </w:r>
    </w:p>
    <w:p>
      <w:pPr>
        <w:pStyle w:val="ListNumber"/>
      </w:pPr>
      <w:r>
        <w:rPr>
          <w:b/>
        </w:rPr>
        <w:t>Intersection:</w:t>
      </w:r>
      <w:r>
        <w:t xml:space="preserve"> for each streamline in the atlas, ask </w:t>
      </w:r>
      <w:r>
        <w:rPr>
          <w:i/>
        </w:rPr>
        <w:t>does this streamline pass through the lesion mask?</w:t>
      </w:r>
      <w:r>
        <w:t xml:space="preserve"> Streamlines that do are considered "disconnected" by the lesion.</w:t>
      </w:r>
    </w:p>
    <w:p>
      <w:pPr>
        <w:pStyle w:val="ListNumber"/>
      </w:pPr>
      <w:r>
        <w:rPr>
          <w:b/>
        </w:rPr>
        <w:t>Aggregation to parcels or tracts:</w:t>
      </w:r>
    </w:p>
    <w:p>
      <w:pPr>
        <w:pStyle w:val="ListBullet"/>
      </w:pPr>
      <w:r>
        <w:rPr>
          <w:b/>
        </w:rPr>
        <w:t>Parcel-to-parcel disconnection matrix:</w:t>
      </w:r>
      <w:r>
        <w:t xml:space="preserve"> for each pair of atlas-defined parcels (e.g. AAL, Yeo, Schaefer), count how many streamlines connecting them are disconnected. Normalize by total streamlines between that parcel pair. Output is a symmetric N×N matrix.</w:t>
      </w:r>
    </w:p>
    <w:p>
      <w:pPr>
        <w:pStyle w:val="ListBullet"/>
      </w:pPr>
      <w:r>
        <w:rPr>
          <w:b/>
        </w:rPr>
        <w:t>Named-tract disconnection:</w:t>
      </w:r>
      <w:r>
        <w:t xml:space="preserve"> for each anatomically-labelled tract (corticospinal, arcuate, IFOF, etc.), compute the fraction of tract streamlines disconnected. Output is a per-tract severity vector.</w:t>
      </w:r>
    </w:p>
    <w:p>
      <w:pPr>
        <w:pStyle w:val="ListNumber"/>
      </w:pPr>
      <w:r>
        <w:rPr>
          <w:b/>
        </w:rPr>
        <w:t>Grey matter damage overlay:</w:t>
      </w:r>
      <w:r>
        <w:t xml:space="preserve"> for atlas parcels, compute the fraction of parcel voxels intersected by the lesion — a companion "cortical damage" score.</w:t>
      </w:r>
    </w:p>
    <w:p>
      <w:r>
        <w:rPr>
          <w:b/>
        </w:rPr>
        <w:t>What LQT specifically produces per subject:</w:t>
      </w:r>
    </w:p>
    <w:p>
      <w:pPr>
        <w:pStyle w:val="ListBullet"/>
      </w:pPr>
      <w:r>
        <w:t>Parcel-to-parcel SDC matrix (AAL, Brainnetome, Schaefer, Yeo — user-selectable)</w:t>
      </w:r>
    </w:p>
    <w:p>
      <w:pPr>
        <w:pStyle w:val="ListBullet"/>
      </w:pPr>
      <w:r>
        <w:t>Tract-level disconnection severity (JHU-tracts atlas + HCP-derived tract labels)</w:t>
      </w:r>
    </w:p>
    <w:p>
      <w:pPr>
        <w:pStyle w:val="ListBullet"/>
      </w:pPr>
      <w:r>
        <w:t>Parcel-level cortical damage</w:t>
      </w:r>
    </w:p>
    <w:p>
      <w:pPr>
        <w:pStyle w:val="ListBullet"/>
      </w:pPr>
      <w:r>
        <w:t>Ventricular / white-matter overlap flags for QC</w:t>
      </w:r>
    </w:p>
    <w:p>
      <w:pPr>
        <w:pStyle w:val="ListBullet"/>
      </w:pPr>
      <w:r>
        <w:t xml:space="preserve">Output as CSV / MATLAB </w:t>
      </w:r>
      <w:r>
        <w:rPr>
          <w:rFonts w:ascii="Consolas" w:hAnsi="Consolas"/>
          <w:sz w:val="20"/>
        </w:rPr>
        <w:t>.mat</w:t>
      </w:r>
      <w:r>
        <w:t xml:space="preserve"> per subject</w:t>
      </w:r>
    </w:p>
    <w:p>
      <w:r>
        <w:rPr>
          <w:b/>
        </w:rPr>
        <w:t>Runtime:</w:t>
      </w:r>
      <w:r>
        <w:t xml:space="preserve"> ~minutes per subject (dominated by mask registration + streamline intersection). Trivially parallelizable across subjects.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normative-atlas SDC became dominant</w:t>
      </w:r>
    </w:p>
    <w:p>
      <w:r>
        <w:t>The approach's appeal is entirely operational:</w:t>
      </w:r>
    </w:p>
    <w:p>
      <w:pPr>
        <w:pStyle w:val="ListNumber"/>
      </w:pPr>
      <w:r>
        <w:rPr>
          <w:b/>
        </w:rPr>
        <w:t>No patient DWI required.</w:t>
      </w:r>
      <w:r>
        <w:t xml:space="preserve"> Only a lesion mask normalized to MNI. In clinical cohorts where DWI acquisition is inconsistent, incomplete, or of poor quality (motion, low SNR, few directions), the normative-atlas approach yields a SDC score anyway.</w:t>
      </w:r>
    </w:p>
    <w:p>
      <w:pPr>
        <w:pStyle w:val="ListNumber"/>
      </w:pPr>
      <w:r>
        <w:rPr>
          <w:b/>
        </w:rPr>
        <w:t>Scalable.</w:t>
      </w:r>
      <w:r>
        <w:t xml:space="preserve"> Minutes per subject vs. hours for patient-specific tractography.</w:t>
      </w:r>
    </w:p>
    <w:p>
      <w:pPr>
        <w:pStyle w:val="ListNumber"/>
      </w:pPr>
      <w:r>
        <w:rPr>
          <w:b/>
        </w:rPr>
        <w:t>Reproducible.</w:t>
      </w:r>
      <w:r>
        <w:t xml:space="preserve"> The same atlas + same lesion mask always gives the same SDC — no per-subject algorithmic instability from tractography.</w:t>
      </w:r>
    </w:p>
    <w:p>
      <w:pPr>
        <w:pStyle w:val="ListNumber"/>
      </w:pPr>
      <w:r>
        <w:rPr>
          <w:b/>
        </w:rPr>
        <w:t>Standardized across sites.</w:t>
      </w:r>
      <w:r>
        <w:t xml:space="preserve"> Every group using LQT is using the same HCP-842 tract atlas, so cross-cohort meta-analyses are computationally trivial.</w:t>
      </w:r>
    </w:p>
    <w:p>
      <w:pPr>
        <w:pStyle w:val="ListNumber"/>
      </w:pPr>
      <w:r>
        <w:rPr>
          <w:b/>
        </w:rPr>
        <w:t>Deterministic.</w:t>
      </w:r>
      <w:r>
        <w:t xml:space="preserve"> No random-seed dependence, no tractography-parameter sensitivity, no </w:t>
      </w:r>
      <w:r>
        <w:rPr>
          <w:rFonts w:ascii="Consolas" w:hAnsi="Consolas"/>
          <w:sz w:val="20"/>
        </w:rPr>
        <w:t>iFOD2 vs SD_Stream</w:t>
      </w:r>
      <w:r>
        <w:t xml:space="preserve"> debate.</w:t>
      </w:r>
    </w:p>
    <w:p>
      <w:r>
        <w:t>These properties made LQT-style SDC the default in stroke lesion-symptom-mapping work from ~2019 onward.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implicit assumption LQT makes</w:t>
      </w:r>
    </w:p>
    <w:p>
      <w:r>
        <w:rPr>
          <w:b/>
        </w:rPr>
        <w:t>LQT assumes that individual patient anatomy conforms to the healthy normative template used to build the tract atlas.</w:t>
      </w:r>
    </w:p>
    <w:p>
      <w:r>
        <w:t>Concretely:</w:t>
      </w:r>
    </w:p>
    <w:p>
      <w:pPr>
        <w:pStyle w:val="ListBullet"/>
      </w:pPr>
      <w:r>
        <w:t>The lesion is registered to MNI, then overlaid on tracts that were drawn from HCP participants without lesions.</w:t>
      </w:r>
    </w:p>
    <w:p>
      <w:pPr>
        <w:pStyle w:val="ListBullet"/>
      </w:pPr>
      <w:r>
        <w:t xml:space="preserve">The tract paths are the </w:t>
      </w:r>
      <w:r>
        <w:rPr>
          <w:i/>
        </w:rPr>
        <w:t>average</w:t>
      </w:r>
      <w:r>
        <w:t xml:space="preserve"> paths across the HCP population — they do not represent the individual patient's actual white-matter routes.</w:t>
      </w:r>
    </w:p>
    <w:p>
      <w:pPr>
        <w:pStyle w:val="ListBullet"/>
      </w:pPr>
      <w:r>
        <w:t>Any anatomical distortion in the patient (mass effect, oedema, ventricular expansion, midline shift, bilateral injury) that would displace real tracts from their template positions is invisible to LQT.</w:t>
      </w:r>
    </w:p>
    <w:p>
      <w:r>
        <w:t>This assumption is largely defensible in ischemic stroke:</w:t>
      </w:r>
    </w:p>
    <w:p>
      <w:pPr>
        <w:pStyle w:val="ListBullet"/>
      </w:pPr>
      <w:r>
        <w:t>Stroke lesions typically respect one vascular territory (MCA, PCA, etc.).</w:t>
      </w:r>
    </w:p>
    <w:p>
      <w:pPr>
        <w:pStyle w:val="ListBullet"/>
      </w:pPr>
      <w:r>
        <w:t>Stroke is unilateral in &gt;90% of cases.</w:t>
      </w:r>
    </w:p>
    <w:p>
      <w:pPr>
        <w:pStyle w:val="ListBullet"/>
      </w:pPr>
      <w:r>
        <w:t>Oedema in chronic stroke has usually resolved by the 2-week imaging window.</w:t>
      </w:r>
    </w:p>
    <w:p>
      <w:pPr>
        <w:pStyle w:val="ListBullet"/>
      </w:pPr>
      <w:r>
        <w:t>Tract displacement from the healthy template is modest.</w:t>
      </w:r>
    </w:p>
    <w:p>
      <w:r>
        <w:t>The assumption is much more strained in traumatic brain injury:</w:t>
      </w:r>
    </w:p>
    <w:p>
      <w:pPr>
        <w:pStyle w:val="ListBullet"/>
      </w:pPr>
      <w:r>
        <w:t>TBI lesion topology is heterogeneous — contusion, oedema, hemorrhage, diffuse axonal injury, and their combinations.</w:t>
      </w:r>
    </w:p>
    <w:p>
      <w:pPr>
        <w:pStyle w:val="ListBullet"/>
      </w:pPr>
      <w:r>
        <w:t>TBI is bilateral in a substantial fraction of cases (~30–40% for moderate-severe TBI).</w:t>
      </w:r>
    </w:p>
    <w:p>
      <w:pPr>
        <w:pStyle w:val="ListBullet"/>
      </w:pPr>
      <w:r>
        <w:t>Oedema and mass effect actively displace tracts from template positions.</w:t>
      </w:r>
    </w:p>
    <w:p>
      <w:pPr>
        <w:pStyle w:val="ListBullet"/>
      </w:pPr>
      <w:r>
        <w:t>Ventricular expansion (both immediate from mass effect and chronic from atrophy) changes intracranial geometry.</w:t>
      </w:r>
    </w:p>
    <w:p>
      <w:r>
        <w:rPr>
          <w:b/>
        </w:rPr>
        <w:t>This is the specific gap that motivates our Paper 2 methods contribution:</w:t>
      </w:r>
      <w:r>
        <w:t xml:space="preserve"> in TBI, patient-specific lesion-aware tractography should produce systematically different SDC estimates than normative-atlas LQT — and the difference should carry clinical signal.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LQT produces and how it maps to our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LQT output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Our equivalent</w:t>
            </w:r>
          </w:p>
        </w:tc>
      </w:tr>
      <w:tr>
        <w:tc>
          <w:tcPr>
            <w:tcW w:type="dxa" w:w="4824"/>
          </w:tcPr>
          <w:p>
            <w:r/>
            <w:r>
              <w:t>Parcel-to-parcel SDC matrix (MNI atlas parcels)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disconnection_matrix.csv</w:t>
            </w:r>
            <w:r>
              <w:t xml:space="preserve"> from </w:t>
            </w:r>
            <w:r>
              <w:rPr>
                <w:rFonts w:ascii="Consolas" w:hAnsi="Consolas"/>
                <w:sz w:val="20"/>
              </w:rPr>
              <w:t>Step 4.1 disconnectome</w:t>
            </w:r>
            <w:r>
              <w:t xml:space="preserve"> (patient-DWI DKT parcels; also available in Schaefer/4S)</w:t>
            </w:r>
          </w:p>
        </w:tc>
      </w:tr>
      <w:tr>
        <w:tc>
          <w:tcPr>
            <w:tcW w:type="dxa" w:w="4824"/>
          </w:tcPr>
          <w:p>
            <w:r/>
            <w:r>
              <w:t>Named-tract disconnection severity</w:t>
            </w:r>
          </w:p>
        </w:tc>
        <w:tc>
          <w:tcPr>
            <w:tcW w:type="dxa" w:w="4824"/>
          </w:tcPr>
          <w:p>
            <w:r/>
            <w:r>
              <w:t>Not a first-class output of our pipeline; would need to compute from the tractogram + named-tract atlas</w:t>
            </w:r>
          </w:p>
        </w:tc>
      </w:tr>
      <w:tr>
        <w:tc>
          <w:tcPr>
            <w:tcW w:type="dxa" w:w="4824"/>
          </w:tcPr>
          <w:p>
            <w:r/>
            <w:r>
              <w:t>Cortical damage per parcel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lesion_roi_metrics.csv</w:t>
            </w:r>
            <w:r>
              <w:t xml:space="preserve"> from </w:t>
            </w:r>
            <w:r>
              <w:rPr>
                <w:rFonts w:ascii="Consolas" w:hAnsi="Consolas"/>
                <w:sz w:val="20"/>
              </w:rPr>
              <w:t>Step 4.1 disconnectome</w:t>
            </w:r>
            <w:r>
              <w:t xml:space="preserve"> (edge-level D per parcel)</w:t>
            </w:r>
          </w:p>
        </w:tc>
      </w:tr>
      <w:tr>
        <w:tc>
          <w:tcPr>
            <w:tcW w:type="dxa" w:w="4824"/>
          </w:tcPr>
          <w:p>
            <w:r/>
            <w:r>
              <w:t>Per-subject JSON QC / provenance</w:t>
            </w:r>
          </w:p>
        </w:tc>
        <w:tc>
          <w:tcPr>
            <w:tcW w:type="dxa" w:w="4824"/>
          </w:tcPr>
          <w:p>
            <w:r/>
            <w:r>
              <w:t xml:space="preserve">Not standard in LQT (LQT emits MATLAB </w:t>
            </w:r>
            <w:r>
              <w:rPr>
                <w:rFonts w:ascii="Consolas" w:hAnsi="Consolas"/>
                <w:sz w:val="20"/>
              </w:rPr>
              <w:t>.mat</w:t>
            </w:r>
            <w:r>
              <w:t xml:space="preserve">); ours: </w:t>
            </w:r>
            <w:r>
              <w:rPr>
                <w:rFonts w:ascii="Consolas" w:hAnsi="Consolas"/>
                <w:sz w:val="20"/>
              </w:rPr>
              <w:t>disconnectome.json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disconnectome_qc.html</w:t>
            </w:r>
          </w:p>
        </w:tc>
      </w:tr>
    </w:tbl>
    <w:p/>
    <w:p>
      <w:r>
        <w:rPr>
          <w:b/>
        </w:rPr>
        <w:t>Convertibility for head-to-head comparison:</w:t>
      </w:r>
    </w:p>
    <w:p>
      <w:pPr>
        <w:pStyle w:val="ListBullet"/>
      </w:pPr>
      <w:r>
        <w:t>LQT outputs parcels in atlas space (MNI); our outputs are in patient-DWI space via DKT.</w:t>
      </w:r>
    </w:p>
    <w:p>
      <w:pPr>
        <w:pStyle w:val="ListBullet"/>
      </w:pPr>
      <w:r>
        <w:t>To compare edge-wise, both must be in the same parcellation. Options:</w:t>
      </w:r>
    </w:p>
    <w:p>
      <w:pPr>
        <w:pStyle w:val="ListNumber"/>
      </w:pPr>
      <w:r>
        <w:t>Run LQT with the DKT atlas (LQT accepts custom atlases).</w:t>
      </w:r>
    </w:p>
    <w:p>
      <w:pPr>
        <w:pStyle w:val="ListNumber"/>
      </w:pPr>
      <w:r>
        <w:t>Run our pipeline with Schaefer 200 atlas (already supported by QSIRecon) and compare against LQT+Schaefer.</w:t>
      </w:r>
    </w:p>
    <w:p>
      <w:pPr>
        <w:pStyle w:val="ListBullet"/>
      </w:pPr>
      <w:r>
        <w:t>Voxel-wise comparison against BCBtoolkit's continuous disconnection maps would use MNI-normalized versions of both.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steps to add LQT to our workflow</w:t>
      </w:r>
    </w:p>
    <w:p>
      <w:r>
        <w:t>For the Paper 2 head-to-head:</w:t>
      </w:r>
    </w:p>
    <w:p>
      <w:pPr>
        <w:pStyle w:val="ListNumber"/>
      </w:pPr>
      <w:r>
        <w:rPr>
          <w:b/>
        </w:rPr>
        <w:t>Install LQT.</w:t>
      </w:r>
      <w:r>
        <w:t xml:space="preserve"> MATLAB required. Alternatives: run LQT in a MATLAB container / use MATLAB compiler runtime + compiled LQT / port key functions to Python if MATLAB access is a constraint.</w:t>
      </w:r>
    </w:p>
    <w:p>
      <w:pPr>
        <w:pStyle w:val="ListNumber"/>
      </w:pPr>
      <w:r>
        <w:rPr>
          <w:b/>
        </w:rPr>
        <w:t>Normalize lesion masks to MNI.</w:t>
      </w:r>
      <w:r>
        <w:t xml:space="preserve"> Our pipeline already registers T1w to MNI via FreeSurfer + QSIRecon; extend to explicit lesion-mask normalization.</w:t>
      </w:r>
    </w:p>
    <w:p>
      <w:pPr>
        <w:pStyle w:val="ListNumber"/>
      </w:pPr>
      <w:r>
        <w:rPr>
          <w:b/>
        </w:rPr>
        <w:t>Choose comparable atlas.</w:t>
      </w:r>
      <w:r>
        <w:t xml:space="preserve"> Schaefer 200 recommended for cross-comparability; or LQT with DKT.</w:t>
      </w:r>
    </w:p>
    <w:p>
      <w:pPr>
        <w:pStyle w:val="ListNumber"/>
      </w:pPr>
      <w:r>
        <w:rPr>
          <w:b/>
        </w:rPr>
        <w:t>Run LQT per subject.</w:t>
      </w:r>
      <w:r>
        <w:t xml:space="preserve"> Batch over the Paper 2 subset.</w:t>
      </w:r>
    </w:p>
    <w:p>
      <w:pPr>
        <w:pStyle w:val="ListNumber"/>
      </w:pPr>
      <w:r>
        <w:rPr>
          <w:b/>
        </w:rPr>
        <w:t>Compare against our SDC per subject.</w:t>
      </w:r>
    </w:p>
    <w:p>
      <w:pPr>
        <w:pStyle w:val="ListBullet"/>
      </w:pPr>
      <w:r>
        <w:t>Edge-wise Pearson correlation</w:t>
      </w:r>
    </w:p>
    <w:p>
      <w:pPr>
        <w:pStyle w:val="ListBullet"/>
      </w:pPr>
      <w:r>
        <w:t>Distribution of correlations across cohort (violin plot)</w:t>
      </w:r>
    </w:p>
    <w:p>
      <w:pPr>
        <w:pStyle w:val="ListBullet"/>
      </w:pPr>
      <w:r>
        <w:t>Cases with r &lt; 0.5 flagged for follow-up</w:t>
      </w:r>
    </w:p>
    <w:p>
      <w:pPr>
        <w:pStyle w:val="ListBullet"/>
      </w:pPr>
      <w:r>
        <w:t>Stratify by lesion features (volume, laterality, mass-effect metric if available)</w:t>
      </w:r>
    </w:p>
    <w:p>
      <w:pPr>
        <w:pStyle w:val="ListNumber"/>
      </w:pPr>
      <w:r>
        <w:rPr>
          <w:b/>
        </w:rPr>
        <w:t>Downstream tests.</w:t>
      </w:r>
    </w:p>
    <w:p>
      <w:pPr>
        <w:pStyle w:val="ListBullet"/>
      </w:pPr>
      <w:r>
        <w:t>FC-abnormality prediction: cross-validated R² per SDC method</w:t>
      </w:r>
    </w:p>
    <w:p>
      <w:pPr>
        <w:pStyle w:val="ListBullet"/>
      </w:pPr>
      <w:r>
        <w:t>GOSE prediction: cross-validated AUC per SDC method, both with lesion volume held constant</w:t>
      </w:r>
    </w:p>
    <w:p>
      <w:pPr>
        <w:pStyle w:val="ListNumber"/>
      </w:pPr>
      <w:r>
        <w:rPr>
          <w:b/>
        </w:rPr>
        <w:t>Discussion.</w:t>
      </w:r>
    </w:p>
    <w:p>
      <w:pPr>
        <w:pStyle w:val="ListBullet"/>
      </w:pPr>
      <w:r>
        <w:t>Where do the methods diverge? (probably: high-mass-effect, bilateral, high-volume)</w:t>
      </w:r>
    </w:p>
    <w:p>
      <w:pPr>
        <w:pStyle w:val="ListBullet"/>
      </w:pPr>
      <w:r>
        <w:t>Does divergence have clinical consequence? (patient-specific SDC beats LQT on downstream?)</w:t>
      </w:r>
    </w:p>
    <w:p>
      <w:pPr>
        <w:pStyle w:val="ListBullet"/>
      </w:pPr>
      <w:r>
        <w:t>Recommendation: default to patient-specific in TBI cohorts with significant lesion morphology.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Strengths of LQT</w:t>
      </w:r>
    </w:p>
    <w:p>
      <w:pPr>
        <w:pStyle w:val="ListBullet"/>
      </w:pPr>
      <w:r>
        <w:rPr>
          <w:b/>
        </w:rPr>
        <w:t>Adoption:</w:t>
      </w:r>
      <w:r>
        <w:t xml:space="preserve"> widely used in stroke lesion-mapping community (&gt;&gt;100 published applications since 2021).</w:t>
      </w:r>
    </w:p>
    <w:p>
      <w:pPr>
        <w:pStyle w:val="ListBullet"/>
      </w:pPr>
      <w:r>
        <w:rPr>
          <w:b/>
        </w:rPr>
        <w:t>Standardization:</w:t>
      </w:r>
      <w:r>
        <w:t xml:space="preserve"> everyone using the same atlas + same tool = easy meta-analysis.</w:t>
      </w:r>
    </w:p>
    <w:p>
      <w:pPr>
        <w:pStyle w:val="ListBullet"/>
      </w:pPr>
      <w:r>
        <w:rPr>
          <w:b/>
        </w:rPr>
        <w:t>Speed:</w:t>
      </w:r>
      <w:r>
        <w:t xml:space="preserve"> minutes per subject.</w:t>
      </w:r>
    </w:p>
    <w:p>
      <w:pPr>
        <w:pStyle w:val="ListBullet"/>
      </w:pPr>
      <w:r>
        <w:rPr>
          <w:b/>
        </w:rPr>
        <w:t>Data-frugal:</w:t>
      </w:r>
      <w:r>
        <w:t xml:space="preserve"> no patient DWI needed.</w:t>
      </w:r>
    </w:p>
    <w:p>
      <w:pPr>
        <w:pStyle w:val="ListBullet"/>
      </w:pPr>
      <w:r>
        <w:rPr>
          <w:b/>
        </w:rPr>
        <w:t>Interpretability:</w:t>
      </w:r>
      <w:r>
        <w:t xml:space="preserve"> outputs map cleanly to named tracts and standard atlases.</w:t>
      </w:r>
    </w:p>
    <w:p>
      <w:pPr>
        <w:pStyle w:val="ListBullet"/>
      </w:pPr>
      <w:r>
        <w:rPr>
          <w:b/>
        </w:rPr>
        <w:t>Documentation:</w:t>
      </w:r>
      <w:r>
        <w:t xml:space="preserve"> published methods paper (Griffis 2021 NeuroImage: Clinical) with clear parameter descriptions.</w:t>
      </w:r>
    </w:p>
    <w:p>
      <w:pPr>
        <w:pStyle w:val="Heading2"/>
      </w:pPr>
      <w:r>
        <w:t>Limitations of LQT (relevant to TBI paper)</w:t>
      </w:r>
    </w:p>
    <w:p>
      <w:pPr>
        <w:pStyle w:val="ListBullet"/>
      </w:pPr>
      <w:r>
        <w:rPr>
          <w:b/>
        </w:rPr>
        <w:t>Anatomical-template assumption breaks in TBI.</w:t>
      </w:r>
      <w:r>
        <w:t xml:space="preserve"> See above.</w:t>
      </w:r>
    </w:p>
    <w:p>
      <w:pPr>
        <w:pStyle w:val="ListBullet"/>
      </w:pPr>
      <w:r>
        <w:rPr>
          <w:b/>
        </w:rPr>
        <w:t>MATLAB dependence.</w:t>
      </w:r>
      <w:r>
        <w:t xml:space="preserve"> Not trivial in Linux HPC environments without MATLAB licenses.</w:t>
      </w:r>
    </w:p>
    <w:p>
      <w:pPr>
        <w:pStyle w:val="ListBullet"/>
      </w:pPr>
      <w:r>
        <w:rPr>
          <w:b/>
        </w:rPr>
        <w:t>No per-subject provenance JSON.</w:t>
      </w:r>
      <w:r>
        <w:t xml:space="preserve"> Reproducibility is at the tool level, not the run level.</w:t>
      </w:r>
    </w:p>
    <w:p>
      <w:pPr>
        <w:pStyle w:val="ListBullet"/>
      </w:pPr>
      <w:r>
        <w:rPr>
          <w:b/>
        </w:rPr>
        <w:t>Single normative atlas (HCP-842).</w:t>
      </w:r>
      <w:r>
        <w:t xml:space="preserve"> Sensitivity to atlas choice is not exposed to the user.</w:t>
      </w:r>
    </w:p>
    <w:p>
      <w:pPr>
        <w:pStyle w:val="ListBullet"/>
      </w:pPr>
      <w:r>
        <w:rPr>
          <w:b/>
        </w:rPr>
        <w:t>Deterministic in a rigid way.</w:t>
      </w:r>
      <w:r>
        <w:t xml:space="preserve"> No mechanism to represent uncertainty about tract paths in the individual.</w:t>
      </w:r>
    </w:p>
    <w:p>
      <w:pPr>
        <w:pStyle w:val="ListBullet"/>
      </w:pPr>
      <w:r>
        <w:rPr>
          <w:b/>
        </w:rPr>
        <w:t>Aggregates over subjects at tract-atlas construction time.</w:t>
      </w:r>
      <w:r>
        <w:t xml:space="preserve"> A distortion in one subject cannot influence that subject's SDC — the atlas is fixed.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Alternative normative-atlas tools (LQT is not alone)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Lab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Reference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Distinguishing feature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LQT</w:t>
            </w:r>
          </w:p>
        </w:tc>
        <w:tc>
          <w:tcPr>
            <w:tcW w:type="dxa" w:w="2412"/>
          </w:tcPr>
          <w:p>
            <w:r/>
            <w:r>
              <w:t>Griffis / Corbetta (WashU)</w:t>
            </w:r>
          </w:p>
        </w:tc>
        <w:tc>
          <w:tcPr>
            <w:tcW w:type="dxa" w:w="2412"/>
          </w:tcPr>
          <w:p>
            <w:r/>
            <w:r>
              <w:t>Griffis 2021 NI:Clinical</w:t>
            </w:r>
          </w:p>
        </w:tc>
        <w:tc>
          <w:tcPr>
            <w:tcW w:type="dxa" w:w="2412"/>
          </w:tcPr>
          <w:p>
            <w:r/>
            <w:r>
              <w:t>Parcel-to-parcel matrix + named-tract severity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BCBtoolkit</w:t>
            </w:r>
          </w:p>
        </w:tc>
        <w:tc>
          <w:tcPr>
            <w:tcW w:type="dxa" w:w="2412"/>
          </w:tcPr>
          <w:p>
            <w:r/>
            <w:r>
              <w:t>Thiebaut de Schotten (Sorbonne / GIN Bordeaux)</w:t>
            </w:r>
          </w:p>
        </w:tc>
        <w:tc>
          <w:tcPr>
            <w:tcW w:type="dxa" w:w="2412"/>
          </w:tcPr>
          <w:p>
            <w:r/>
            <w:r>
              <w:t>Foulon 2018 GigaScience</w:t>
            </w:r>
          </w:p>
        </w:tc>
        <w:tc>
          <w:tcPr>
            <w:tcW w:type="dxa" w:w="2412"/>
          </w:tcPr>
          <w:p>
            <w:r/>
            <w:r>
              <w:t>Voxel-level disconnection probability maps; Tractotron for named tracts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NeMo Tool</w:t>
            </w:r>
            <w:r>
              <w:t xml:space="preserve"> (Network Modification)</w:t>
            </w:r>
          </w:p>
        </w:tc>
        <w:tc>
          <w:tcPr>
            <w:tcW w:type="dxa" w:w="2412"/>
          </w:tcPr>
          <w:p>
            <w:r/>
            <w:r>
              <w:t>Kuceyeski (Weill Cornell)</w:t>
            </w:r>
          </w:p>
        </w:tc>
        <w:tc>
          <w:tcPr>
            <w:tcW w:type="dxa" w:w="2412"/>
          </w:tcPr>
          <w:p>
            <w:r/>
            <w:r>
              <w:t>Kuceyeski 2013 NeuroImage</w:t>
            </w:r>
          </w:p>
        </w:tc>
        <w:tc>
          <w:tcPr>
            <w:tcW w:type="dxa" w:w="2412"/>
          </w:tcPr>
          <w:p>
            <w:r/>
            <w:r>
              <w:t>Predecessor of LQT; uses NKI-Rockland normative connectome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Disconnectome Symptom Mapping (DSM)</w:t>
            </w:r>
          </w:p>
        </w:tc>
        <w:tc>
          <w:tcPr>
            <w:tcW w:type="dxa" w:w="2412"/>
          </w:tcPr>
          <w:p>
            <w:r/>
            <w:r>
              <w:t>Talozzi / Thiebaut de Schotten</w:t>
            </w:r>
          </w:p>
        </w:tc>
        <w:tc>
          <w:tcPr>
            <w:tcW w:type="dxa" w:w="2412"/>
          </w:tcPr>
          <w:p>
            <w:r/>
            <w:r>
              <w:t>Talozzi 2023 Brain</w:t>
            </w:r>
          </w:p>
        </w:tc>
        <w:tc>
          <w:tcPr>
            <w:tcW w:type="dxa" w:w="2412"/>
          </w:tcPr>
          <w:p>
            <w:r/>
            <w:r>
              <w:t>Latent-space disconnectome; predicts long-term symptoms</w:t>
            </w:r>
          </w:p>
        </w:tc>
      </w:tr>
    </w:tbl>
    <w:p/>
    <w:p>
      <w:r>
        <w:t>All share the normative-atlas approach; they differ in atlas source, output format, and downstream statistical framework.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Bottom line for our paper</w:t>
      </w:r>
    </w:p>
    <w:p>
      <w:pPr>
        <w:pStyle w:val="ListBullet"/>
      </w:pPr>
      <w:r>
        <w:t xml:space="preserve">LQT is the </w:t>
      </w:r>
      <w:r>
        <w:rPr>
          <w:b/>
        </w:rPr>
        <w:t>current field standard</w:t>
      </w:r>
      <w:r>
        <w:t xml:space="preserve"> for stroke SDC and is being applied to TBI cohorts by other groups.</w:t>
      </w:r>
    </w:p>
    <w:p>
      <w:pPr>
        <w:pStyle w:val="ListBullet"/>
      </w:pPr>
      <w:r>
        <w:t xml:space="preserve">The </w:t>
      </w:r>
      <w:r>
        <w:rPr>
          <w:b/>
        </w:rPr>
        <w:t>anatomical-template assumption is a specific weakness in TBI</w:t>
      </w:r>
      <w:r>
        <w:t xml:space="preserve"> — this is exactly where our patient-specific lesion-aware tractography should differ.</w:t>
      </w:r>
    </w:p>
    <w:p>
      <w:pPr>
        <w:pStyle w:val="ListBullet"/>
      </w:pPr>
      <w:r>
        <w:rPr>
          <w:b/>
        </w:rPr>
        <w:t>Our Paper 2 methods contribution requires an LQT + BCBtoolkit head-to-head</w:t>
      </w:r>
      <w:r>
        <w:t xml:space="preserve"> — this document is the reference for how to set that up and what to expect.</w:t>
      </w:r>
    </w:p>
    <w:p>
      <w:pPr>
        <w:pStyle w:val="ListBullet"/>
      </w:pPr>
      <w:r>
        <w:rPr>
          <w:b/>
        </w:rPr>
        <w:t>Expected outcome:</w:t>
      </w:r>
      <w:r>
        <w:t xml:space="preserve"> LQT and our SDC agree in low-mass-effect, unilateral, small-lesion subjects; diverge in high-mass-effect, bilateral, large-lesion subjects; divergence carries FC/behavior signal.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Griffis_later.md</w:t>
      </w:r>
      <w:r>
        <w:t xml:space="preserve"> — follow-up work by Salvalaggio, Thiebaut de Schotten, Kuceyeski that established normative-atlas SDC as the field standard.</w:t>
      </w:r>
    </w:p>
    <w:p>
      <w:pPr>
        <w:pStyle w:val="ListBullet"/>
      </w:pPr>
      <w:r>
        <w:rPr>
          <w:color w:val="1F4E79"/>
          <w:u w:val="single"/>
        </w:rPr>
        <w:t>paper2_disconnectome_outcomes.md § Our contribution relative to Griffis 2019</w:t>
      </w:r>
      <w:r>
        <w:t xml:space="preserve"> — how LQT slots into our contribution argument.</w:t>
      </w:r>
    </w:p>
    <w:p>
      <w:pPr>
        <w:pStyle w:val="ListBullet"/>
      </w:pPr>
      <w:r>
        <w:rPr>
          <w:color w:val="1F4E79"/>
          <w:u w:val="single"/>
        </w:rPr>
        <w:t>../lesion_aware.md</w:t>
      </w:r>
      <w:r>
        <w:t xml:space="preserve"> — our patient-specific alternative approach.</w:t>
      </w:r>
    </w:p>
    <w:p>
      <w:pPr>
        <w:pStyle w:val="ListBullet"/>
      </w:pPr>
      <w:r>
        <w:rPr>
          <w:color w:val="1F4E79"/>
          <w:u w:val="single"/>
        </w:rPr>
        <w:t>../disconnectome.md</w:t>
      </w:r>
      <w:r>
        <w:t xml:space="preserve"> — Step 4.1 methods.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