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Journal-tier landscape — Paper 2 (clinical disconnectome in TBI)</w:t>
      </w:r>
    </w:p>
    <w:p>
      <w:r>
        <w:rPr>
          <w:b/>
        </w:rPr>
        <w:t>Purpose:</w:t>
      </w:r>
      <w:r>
        <w:t xml:space="preserve"> planning document for Paper 2 venue strategy. For each realistic or stretch venue, spells out the framing that lands the paper, the analyses required to defend it, and a section-by-section manuscript breakdown with figure and table lists.</w:t>
      </w:r>
    </w:p>
    <w:p>
      <w:r>
        <w:rPr>
          <w:b/>
        </w:rPr>
        <w:t>As-of:</w:t>
      </w:r>
      <w:r>
        <w:t xml:space="preserve"> 2026-09-17. </w:t>
      </w:r>
      <w:r>
        <w:rPr>
          <w:b/>
        </w:rPr>
        <w:t>Author:</w:t>
      </w:r>
      <w:r>
        <w:t xml:space="preserve"> Phind Ndagijimana (with Claude planning assist). </w:t>
      </w:r>
      <w:r>
        <w:rPr>
          <w:b/>
        </w:rPr>
        <w:t>Related docs:</w:t>
      </w:r>
      <w:r>
        <w:t xml:space="preserve"> </w:t>
      </w:r>
      <w:r>
        <w:rPr>
          <w:color w:val="1F4E79"/>
          <w:u w:val="single"/>
        </w:rPr>
        <w:t>publication_strategy.md</w:t>
      </w:r>
      <w:r>
        <w:t xml:space="preserve"> · </w:t>
      </w:r>
      <w:r>
        <w:rPr>
          <w:color w:val="1F4E79"/>
          <w:u w:val="single"/>
        </w:rPr>
        <w:t>paper2_disconnectome_outcomes.md</w:t>
      </w:r>
      <w:r>
        <w:t xml:space="preserve"> · </w:t>
      </w:r>
      <w:r>
        <w:rPr>
          <w:color w:val="1F4E79"/>
          <w:u w:val="single"/>
        </w:rPr>
        <w:t>../lesion_aware.md</w:t>
      </w:r>
      <w:r>
        <w:t xml:space="preserve"> · </w:t>
      </w:r>
      <w:r>
        <w:rPr>
          <w:color w:val="1F4E79"/>
          <w:u w:val="single"/>
        </w:rPr>
        <w:t>../disconnectome.md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t>Paper 2 has three viable target venues and one honest fallback:</w:t>
      </w:r>
    </w:p>
    <w:p>
      <w:pPr>
        <w:pStyle w:val="ListBullet"/>
      </w:pPr>
      <w:r>
        <w:rPr>
          <w:b/>
        </w:rPr>
        <w:t>NeuroImage</w:t>
      </w:r>
      <w:r>
        <w:t xml:space="preserve"> — if the head-to-head vs LQT/BCB normative-atlas SDC produces a quantitative divergence figure with clinical consequence in TBI. </w:t>
      </w:r>
      <w:r>
        <w:rPr>
          <w:b/>
        </w:rPr>
        <w:t>Methods-lead framing.</w:t>
      </w:r>
    </w:p>
    <w:p>
      <w:pPr>
        <w:pStyle w:val="ListBullet"/>
      </w:pPr>
      <w:r>
        <w:rPr>
          <w:b/>
        </w:rPr>
        <w:t>Brain</w:t>
      </w:r>
      <w:r>
        <w:t xml:space="preserve"> — if the full Griffis-2019 SC → FC → behavior chain lands cleanly on N ≥ 50 with a neuropsych battery. </w:t>
      </w:r>
      <w:r>
        <w:rPr>
          <w:b/>
        </w:rPr>
        <w:t>Biology-lead framing.</w:t>
      </w:r>
    </w:p>
    <w:p>
      <w:pPr>
        <w:pStyle w:val="ListBullet"/>
      </w:pPr>
      <w:r>
        <w:rPr>
          <w:b/>
        </w:rPr>
        <w:t>Human Brain Mapping</w:t>
      </w:r>
      <w:r>
        <w:t xml:space="preserve"> — safe landing under either framing at lower N or novelty bar. </w:t>
      </w:r>
      <w:r>
        <w:rPr>
          <w:b/>
        </w:rPr>
        <w:t>Default.</w:t>
      </w:r>
    </w:p>
    <w:p>
      <w:pPr>
        <w:pStyle w:val="ListBullet"/>
      </w:pPr>
      <w:r>
        <w:rPr>
          <w:b/>
        </w:rPr>
        <w:t>NeuroImage: Clinical</w:t>
      </w:r>
      <w:r>
        <w:t xml:space="preserve"> — TBI-focused imaging-clinical backup; publishable version of Paper 2 in almost any scenario short of pipeline collapse.</w:t>
      </w:r>
    </w:p>
    <w:p>
      <w:r>
        <w:rPr>
          <w:i/>
        </w:rPr>
        <w:t>Nature</w:t>
      </w:r>
      <w:r>
        <w:t xml:space="preserve"> main is not in play. </w:t>
      </w:r>
      <w:r>
        <w:rPr>
          <w:i/>
        </w:rPr>
        <w:t>Nature Communications</w:t>
      </w:r>
      <w:r>
        <w:t xml:space="preserve"> is a stretch requiring an external replication cohort (which we don't have). Design the analysis to unlock either the methods-lead or biology-lead path, run both, then choose venue by which contribution is quantitatively stronger — but lock the analysis plan (contrasts, primary metrics, benchmarks) </w:t>
      </w:r>
      <w:r>
        <w:rPr>
          <w:i/>
        </w:rPr>
        <w:t>before</w:t>
      </w:r>
      <w:r>
        <w:t xml:space="preserve"> opening group results.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Full venue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Venue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Realistic?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Framing that lands it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What we'd need to deliver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What we don't yet have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i/>
              </w:rPr>
              <w:t>Nature</w:t>
            </w:r>
            <w:r>
              <w:t xml:space="preserve"> (main)</w:t>
            </w:r>
          </w:p>
        </w:tc>
        <w:tc>
          <w:tcPr>
            <w:tcW w:type="dxa" w:w="1930"/>
          </w:tcPr>
          <w:p>
            <w:r/>
            <w:r>
              <w:t>❌ Not in play</w:t>
            </w:r>
          </w:p>
        </w:tc>
        <w:tc>
          <w:tcPr>
            <w:tcW w:type="dxa" w:w="1930"/>
          </w:tcPr>
          <w:p>
            <w:r/>
            <w:r>
              <w:t>Paradigm-shifting biology + broad reach beyond TBI</w:t>
            </w:r>
          </w:p>
        </w:tc>
        <w:tc>
          <w:tcPr>
            <w:tcW w:type="dxa" w:w="1930"/>
          </w:tcPr>
          <w:p>
            <w:r/>
            <w:r>
              <w:t>N &gt; 500, multi-cohort replication, cross-disease generalizability</w:t>
            </w:r>
          </w:p>
        </w:tc>
        <w:tc>
          <w:tcPr>
            <w:tcW w:type="dxa" w:w="1930"/>
          </w:tcPr>
          <w:p>
            <w:r/>
            <w:r>
              <w:t>Everything</w:t>
            </w:r>
          </w:p>
        </w:tc>
      </w:tr>
      <w:tr>
        <w:tc>
          <w:tcPr>
            <w:tcW w:type="dxa" w:w="1930"/>
          </w:tcPr>
          <w:p>
            <w:r/>
            <w:r>
              <w:rPr>
                <w:i/>
              </w:rPr>
              <w:t>Nature Neuroscience</w:t>
            </w:r>
          </w:p>
        </w:tc>
        <w:tc>
          <w:tcPr>
            <w:tcW w:type="dxa" w:w="1930"/>
          </w:tcPr>
          <w:p>
            <w:r/>
            <w:r>
              <w:t>❌ Stretch of stretch</w:t>
            </w:r>
          </w:p>
        </w:tc>
        <w:tc>
          <w:tcPr>
            <w:tcW w:type="dxa" w:w="1930"/>
          </w:tcPr>
          <w:p>
            <w:r/>
            <w:r>
              <w:t>Broad neuroscience insight beyond stroke/TBI</w:t>
            </w:r>
          </w:p>
        </w:tc>
        <w:tc>
          <w:tcPr>
            <w:tcW w:type="dxa" w:w="1930"/>
          </w:tcPr>
          <w:p>
            <w:r/>
            <w:r>
              <w:t>Very large N or exceptional mechanistic depth</w:t>
            </w:r>
          </w:p>
        </w:tc>
        <w:tc>
          <w:tcPr>
            <w:tcW w:type="dxa" w:w="1930"/>
          </w:tcPr>
          <w:p>
            <w:r/>
            <w:r>
              <w:t>Cohort scale, replication</w:t>
            </w:r>
          </w:p>
        </w:tc>
      </w:tr>
      <w:tr>
        <w:tc>
          <w:tcPr>
            <w:tcW w:type="dxa" w:w="1930"/>
          </w:tcPr>
          <w:p>
            <w:r/>
            <w:r>
              <w:rPr>
                <w:i/>
              </w:rPr>
              <w:t>Nature Communications</w:t>
            </w:r>
          </w:p>
        </w:tc>
        <w:tc>
          <w:tcPr>
            <w:tcW w:type="dxa" w:w="1930"/>
          </w:tcPr>
          <w:p>
            <w:r/>
            <w:r>
              <w:t>⚠️ Stretch, conceivable</w:t>
            </w:r>
          </w:p>
        </w:tc>
        <w:tc>
          <w:tcPr>
            <w:tcW w:type="dxa" w:w="1930"/>
          </w:tcPr>
          <w:p>
            <w:r/>
            <w:r>
              <w:t>Full SC→FC→behavior + methods novelty + external replication</w:t>
            </w:r>
          </w:p>
        </w:tc>
        <w:tc>
          <w:tcPr>
            <w:tcW w:type="dxa" w:w="1930"/>
          </w:tcPr>
          <w:p>
            <w:r/>
            <w:r>
              <w:t>N ≥ 80 complete; independent replication cohort; crisp methods-vs-normative figure with clinical consequence</w:t>
            </w:r>
          </w:p>
        </w:tc>
        <w:tc>
          <w:tcPr>
            <w:tcW w:type="dxa" w:w="1930"/>
          </w:tcPr>
          <w:p>
            <w:r/>
            <w:r>
              <w:t>Replication cohort; N confirmation</w:t>
            </w:r>
          </w:p>
        </w:tc>
      </w:tr>
      <w:tr>
        <w:tc>
          <w:tcPr>
            <w:tcW w:type="dxa" w:w="1930"/>
          </w:tcPr>
          <w:p>
            <w:r/>
            <w:r>
              <w:rPr>
                <w:i/>
              </w:rPr>
              <w:t>Nature Human Behaviour</w:t>
            </w:r>
          </w:p>
        </w:tc>
        <w:tc>
          <w:tcPr>
            <w:tcW w:type="dxa" w:w="1930"/>
          </w:tcPr>
          <w:p>
            <w:r/>
            <w:r>
              <w:t>⚠️ Stretch</w:t>
            </w:r>
          </w:p>
        </w:tc>
        <w:tc>
          <w:tcPr>
            <w:tcW w:type="dxa" w:w="1930"/>
          </w:tcPr>
          <w:p>
            <w:r/>
            <w:r>
              <w:t>Behavior-forward, domain-specific network mapping</w:t>
            </w:r>
          </w:p>
        </w:tc>
        <w:tc>
          <w:tcPr>
            <w:tcW w:type="dxa" w:w="1930"/>
          </w:tcPr>
          <w:p>
            <w:r/>
            <w:r>
              <w:t>Multi-domain neuropsych factor scores + clean domain-network mapping</w:t>
            </w:r>
          </w:p>
        </w:tc>
        <w:tc>
          <w:tcPr>
            <w:tcW w:type="dxa" w:w="1930"/>
          </w:tcPr>
          <w:p>
            <w:r/>
            <w:r>
              <w:t>Neuropsych battery confirmation</w:t>
            </w:r>
          </w:p>
        </w:tc>
      </w:tr>
      <w:tr>
        <w:tc>
          <w:tcPr>
            <w:tcW w:type="dxa" w:w="1930"/>
          </w:tcPr>
          <w:p>
            <w:r/>
            <w:r>
              <w:rPr>
                <w:i/>
              </w:rPr>
              <w:t>Brain</w:t>
            </w:r>
          </w:p>
        </w:tc>
        <w:tc>
          <w:tcPr>
            <w:tcW w:type="dxa" w:w="1930"/>
          </w:tcPr>
          <w:p>
            <w:r/>
            <w:r>
              <w:t>✅ Realistic</w:t>
            </w:r>
          </w:p>
        </w:tc>
        <w:tc>
          <w:tcPr>
            <w:tcW w:type="dxa" w:w="1930"/>
          </w:tcPr>
          <w:p>
            <w:r/>
            <w:r>
              <w:t>Biology-lead: clinical-mechanistic story</w:t>
            </w:r>
          </w:p>
        </w:tc>
        <w:tc>
          <w:tcPr>
            <w:tcW w:type="dxa" w:w="1930"/>
          </w:tcPr>
          <w:p>
            <w:r/>
            <w:r>
              <w:t>N ≥ 50 complete cases + neuropsych + clean SC→FC coupling + incremental validity vs lesion volume</w:t>
            </w:r>
          </w:p>
        </w:tc>
        <w:tc>
          <w:tcPr>
            <w:tcW w:type="dxa" w:w="1930"/>
          </w:tcPr>
          <w:p>
            <w:r/>
            <w:r>
              <w:t>Clean cohort delivery</w:t>
            </w:r>
          </w:p>
        </w:tc>
      </w:tr>
      <w:tr>
        <w:tc>
          <w:tcPr>
            <w:tcW w:type="dxa" w:w="1930"/>
          </w:tcPr>
          <w:p>
            <w:r/>
            <w:r>
              <w:rPr>
                <w:i/>
              </w:rPr>
              <w:t>NeuroImage</w:t>
            </w:r>
          </w:p>
        </w:tc>
        <w:tc>
          <w:tcPr>
            <w:tcW w:type="dxa" w:w="1930"/>
          </w:tcPr>
          <w:p>
            <w:r/>
            <w:r>
              <w:t>✅ Realistic</w:t>
            </w:r>
          </w:p>
        </w:tc>
        <w:tc>
          <w:tcPr>
            <w:tcW w:type="dxa" w:w="1930"/>
          </w:tcPr>
          <w:p>
            <w:r/>
            <w:r>
              <w:t>Methods-lead: patient-specific vs normative-atlas SDC head-to-head</w:t>
            </w:r>
          </w:p>
        </w:tc>
        <w:tc>
          <w:tcPr>
            <w:tcW w:type="dxa" w:w="1930"/>
          </w:tcPr>
          <w:p>
            <w:r/>
            <w:r>
              <w:t>Quantitative divergence figure vs LQT/BCB with downstream consequence (FC or behavior prediction)</w:t>
            </w:r>
          </w:p>
        </w:tc>
        <w:tc>
          <w:tcPr>
            <w:tcW w:type="dxa" w:w="1930"/>
          </w:tcPr>
          <w:p>
            <w:r/>
            <w:r>
              <w:t>The head-to-head analysis run</w:t>
            </w:r>
          </w:p>
        </w:tc>
      </w:tr>
      <w:tr>
        <w:tc>
          <w:tcPr>
            <w:tcW w:type="dxa" w:w="1930"/>
          </w:tcPr>
          <w:p>
            <w:r/>
            <w:r>
              <w:rPr>
                <w:i/>
              </w:rPr>
              <w:t>NeuroImage: Clinical</w:t>
            </w:r>
          </w:p>
        </w:tc>
        <w:tc>
          <w:tcPr>
            <w:tcW w:type="dxa" w:w="1930"/>
          </w:tcPr>
          <w:p>
            <w:r/>
            <w:r>
              <w:t>✅ Very realistic</w:t>
            </w:r>
          </w:p>
        </w:tc>
        <w:tc>
          <w:tcPr>
            <w:tcW w:type="dxa" w:w="1930"/>
          </w:tcPr>
          <w:p>
            <w:r/>
            <w:r>
              <w:t>TBI-focused imaging-clinical</w:t>
            </w:r>
          </w:p>
        </w:tc>
        <w:tc>
          <w:tcPr>
            <w:tcW w:type="dxa" w:w="1930"/>
          </w:tcPr>
          <w:p>
            <w:r/>
            <w:r>
              <w:t>Standard clinical-imaging deliverables</w:t>
            </w:r>
          </w:p>
        </w:tc>
        <w:tc>
          <w:tcPr>
            <w:tcW w:type="dxa" w:w="1930"/>
          </w:tcPr>
          <w:p>
            <w:r/>
            <w:r>
              <w:t>Solid backup — no gap</w:t>
            </w:r>
          </w:p>
        </w:tc>
      </w:tr>
      <w:tr>
        <w:tc>
          <w:tcPr>
            <w:tcW w:type="dxa" w:w="1930"/>
          </w:tcPr>
          <w:p>
            <w:r/>
            <w:r>
              <w:rPr>
                <w:i/>
              </w:rPr>
              <w:t>Medical Image Analysis</w:t>
            </w:r>
          </w:p>
        </w:tc>
        <w:tc>
          <w:tcPr>
            <w:tcW w:type="dxa" w:w="1930"/>
          </w:tcPr>
          <w:p>
            <w:r/>
            <w:r>
              <w:t>⚠️ Fit-dependent</w:t>
            </w:r>
          </w:p>
        </w:tc>
        <w:tc>
          <w:tcPr>
            <w:tcW w:type="dxa" w:w="1930"/>
          </w:tcPr>
          <w:p>
            <w:r/>
            <w:r>
              <w:t>Pipeline/engineering lead</w:t>
            </w:r>
          </w:p>
        </w:tc>
        <w:tc>
          <w:tcPr>
            <w:tcW w:type="dxa" w:w="1930"/>
          </w:tcPr>
          <w:p>
            <w:r/>
            <w:r>
              <w:t>Would require rewriting away from Griffis story</w:t>
            </w:r>
          </w:p>
        </w:tc>
        <w:tc>
          <w:tcPr>
            <w:tcW w:type="dxa" w:w="1930"/>
          </w:tcPr>
          <w:p>
            <w:r/>
            <w:r>
              <w:t>Different framing</w:t>
            </w:r>
          </w:p>
        </w:tc>
      </w:tr>
      <w:tr>
        <w:tc>
          <w:tcPr>
            <w:tcW w:type="dxa" w:w="1930"/>
          </w:tcPr>
          <w:p>
            <w:r/>
            <w:r>
              <w:rPr>
                <w:i/>
              </w:rPr>
              <w:t>Human Brain Mapping</w:t>
            </w:r>
          </w:p>
        </w:tc>
        <w:tc>
          <w:tcPr>
            <w:tcW w:type="dxa" w:w="1930"/>
          </w:tcPr>
          <w:p>
            <w:r/>
            <w:r>
              <w:t>✅ Default landing</w:t>
            </w:r>
          </w:p>
        </w:tc>
        <w:tc>
          <w:tcPr>
            <w:tcW w:type="dxa" w:w="1930"/>
          </w:tcPr>
          <w:p>
            <w:r/>
            <w:r>
              <w:t>Either framing at lower N/novelty bar</w:t>
            </w:r>
          </w:p>
        </w:tc>
        <w:tc>
          <w:tcPr>
            <w:tcW w:type="dxa" w:w="1930"/>
          </w:tcPr>
          <w:p>
            <w:r/>
            <w:r>
              <w:t>Coherent whole; LeAPP was here</w:t>
            </w:r>
          </w:p>
        </w:tc>
        <w:tc>
          <w:tcPr>
            <w:tcW w:type="dxa" w:w="1930"/>
          </w:tcPr>
          <w:p>
            <w:r/>
            <w:r>
              <w:t>Nothing extra</w:t>
            </w:r>
          </w:p>
        </w:tc>
      </w:tr>
      <w:tr>
        <w:tc>
          <w:tcPr>
            <w:tcW w:type="dxa" w:w="1930"/>
          </w:tcPr>
          <w:p>
            <w:r/>
            <w:r>
              <w:rPr>
                <w:i/>
              </w:rPr>
              <w:t>Journal of Neurotrauma</w:t>
            </w:r>
          </w:p>
        </w:tc>
        <w:tc>
          <w:tcPr>
            <w:tcW w:type="dxa" w:w="1930"/>
          </w:tcPr>
          <w:p>
            <w:r/>
            <w:r>
              <w:t>✅ Realistic backup</w:t>
            </w:r>
          </w:p>
        </w:tc>
        <w:tc>
          <w:tcPr>
            <w:tcW w:type="dxa" w:w="1930"/>
          </w:tcPr>
          <w:p>
            <w:r/>
            <w:r>
              <w:t>Clinical outcomes in TBI</w:t>
            </w:r>
          </w:p>
        </w:tc>
        <w:tc>
          <w:tcPr>
            <w:tcW w:type="dxa" w:w="1930"/>
          </w:tcPr>
          <w:p>
            <w:r/>
            <w:r>
              <w:t>GOSE + covariates on N ≥ 40; less demand on methods novelty</w:t>
            </w:r>
          </w:p>
        </w:tc>
        <w:tc>
          <w:tcPr>
            <w:tcW w:type="dxa" w:w="1930"/>
          </w:tcPr>
          <w:p>
            <w:r/>
            <w:r>
              <w:t>Nothing extra beyond baseline analysis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i/>
              </w:rPr>
              <w:t>Cell Reports</w:t>
            </w:r>
            <w:r>
              <w:t xml:space="preserve"> (Griffis's venue)</w:t>
            </w:r>
          </w:p>
        </w:tc>
        <w:tc>
          <w:tcPr>
            <w:tcW w:type="dxa" w:w="1930"/>
          </w:tcPr>
          <w:p>
            <w:r/>
            <w:r>
              <w:t>❌ Not open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>They published Griffis; won't accept extension</w:t>
            </w:r>
          </w:p>
        </w:tc>
      </w:tr>
    </w:tbl>
    <w:p/>
    <w:p>
      <w:r>
        <w:rPr>
          <w:b/>
        </w:rPr>
        <w:t>How to read the table:</w:t>
      </w:r>
      <w:r>
        <w:t xml:space="preserve"> ✅ means we can plausibly get there with the data we have or expect to have. ⚠️ means the venue is conceivable but only if specific additional deliverables land. ❌ means the venue is either editorially closed to us or requires resources (cohort scale, replication) we do not have.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Path-determination logic</w:t>
      </w:r>
    </w:p>
    <w:p>
      <w:r>
        <w:t>Three empirical questions with unknown answers today determine which venue is open: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If yes →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If no →</w:t>
            </w:r>
          </w:p>
        </w:tc>
      </w:tr>
      <w:tr>
        <w:tc>
          <w:tcPr>
            <w:tcW w:type="dxa" w:w="3216"/>
          </w:tcPr>
          <w:p>
            <w:r/>
            <w:r>
              <w:t>Do patient-specific and normative-atlas SDC diverge meaningfully in TBI?</w:t>
            </w:r>
          </w:p>
        </w:tc>
        <w:tc>
          <w:tcPr>
            <w:tcW w:type="dxa" w:w="3216"/>
          </w:tcPr>
          <w:p>
            <w:r/>
            <w:r>
              <w:t>NeuroImage path viable</w:t>
            </w:r>
          </w:p>
        </w:tc>
        <w:tc>
          <w:tcPr>
            <w:tcW w:type="dxa" w:w="3216"/>
          </w:tcPr>
          <w:p>
            <w:r/>
            <w:r>
              <w:t>HBM (methods becomes supplement)</w:t>
            </w:r>
          </w:p>
        </w:tc>
      </w:tr>
      <w:tr>
        <w:tc>
          <w:tcPr>
            <w:tcW w:type="dxa" w:w="3216"/>
          </w:tcPr>
          <w:p>
            <w:r/>
            <w:r>
              <w:t>Is the SC→FC coupling reproducible cohort-wide?</w:t>
            </w:r>
          </w:p>
        </w:tc>
        <w:tc>
          <w:tcPr>
            <w:tcW w:type="dxa" w:w="3216"/>
          </w:tcPr>
          <w:p>
            <w:r/>
            <w:r>
              <w:t>Brain path viable</w:t>
            </w:r>
          </w:p>
        </w:tc>
        <w:tc>
          <w:tcPr>
            <w:tcW w:type="dxa" w:w="3216"/>
          </w:tcPr>
          <w:p>
            <w:r/>
            <w:r>
              <w:t>HBM</w:t>
            </w:r>
          </w:p>
        </w:tc>
      </w:tr>
      <w:tr>
        <w:tc>
          <w:tcPr>
            <w:tcW w:type="dxa" w:w="3216"/>
          </w:tcPr>
          <w:p>
            <w:r/>
            <w:r>
              <w:t>Do we have neuropsych battery + N ≥ 50 complete cases?</w:t>
            </w:r>
          </w:p>
        </w:tc>
        <w:tc>
          <w:tcPr>
            <w:tcW w:type="dxa" w:w="3216"/>
          </w:tcPr>
          <w:p>
            <w:r/>
            <w:r>
              <w:t>Brain path stronger</w:t>
            </w:r>
          </w:p>
        </w:tc>
        <w:tc>
          <w:tcPr>
            <w:tcW w:type="dxa" w:w="3216"/>
          </w:tcPr>
          <w:p>
            <w:r/>
            <w:r>
              <w:t>HBM</w:t>
            </w:r>
          </w:p>
        </w:tc>
      </w:tr>
    </w:tbl>
    <w:p/>
    <w:p>
      <w:r>
        <w:rPr>
          <w:b/>
        </w:rPr>
        <w:t>Strategic rule:</w:t>
      </w:r>
      <w:r>
        <w:t xml:space="preserve"> design the analysis to unlock either path; run both; then choose venue by which contribution is quantitatively stronger. Do </w:t>
      </w:r>
      <w:r>
        <w:rPr>
          <w:b/>
        </w:rPr>
        <w:t>not</w:t>
      </w:r>
      <w:r>
        <w:t xml:space="preserve"> commit to a venue before results — but do lock the analysis plan (contrasts, primary metrics, benchmarks) before opening group results.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Venue deep dives</w:t>
      </w:r>
    </w:p>
    <w:p>
      <w:pPr>
        <w:pStyle w:val="Heading2"/>
      </w:pPr>
      <w:r>
        <w:t>1. NeuroImage — methods-lead (realistic primary target)</w:t>
      </w:r>
    </w:p>
    <w:p>
      <w:pPr>
        <w:pStyle w:val="Heading3"/>
      </w:pPr>
      <w:r>
        <w:t>Editorial identity</w:t>
      </w:r>
    </w:p>
    <w:p>
      <w:pPr>
        <w:pStyle w:val="ListBullet"/>
      </w:pPr>
      <w:r>
        <w:rPr>
          <w:b/>
        </w:rPr>
        <w:t>Reader base:</w:t>
      </w:r>
      <w:r>
        <w:t xml:space="preserve"> neuroimaging methodologists, tool developers, computational imaging labs.</w:t>
      </w:r>
    </w:p>
    <w:p>
      <w:pPr>
        <w:pStyle w:val="ListBullet"/>
      </w:pPr>
      <w:r>
        <w:rPr>
          <w:b/>
        </w:rPr>
        <w:t>Reviewers reward:</w:t>
      </w:r>
      <w:r>
        <w:t xml:space="preserve"> methods innovation with quantitative validation, head-to-head comparisons against standard tools (LQT, BCBtoolkit), sensitivity/robustness across parameters, reproducibility (containers, open code, provenance).</w:t>
      </w:r>
    </w:p>
    <w:p>
      <w:pPr>
        <w:pStyle w:val="ListBullet"/>
      </w:pPr>
      <w:r>
        <w:rPr>
          <w:b/>
        </w:rPr>
        <w:t>Reviewers reject on:</w:t>
      </w:r>
      <w:r>
        <w:t xml:space="preserve"> biology-only stories without a methods contribution; qualitative rather than quantitative claims; missing benchmarks; single-atlas or single-method analyses; unclear why anyone should adopt the method.</w:t>
      </w:r>
    </w:p>
    <w:p>
      <w:pPr>
        <w:pStyle w:val="ListBullet"/>
      </w:pPr>
      <w:r>
        <w:rPr>
          <w:b/>
        </w:rPr>
        <w:t>Our fit:</w:t>
      </w:r>
      <w:r>
        <w:t xml:space="preserve"> patient-specific lesion-aware SDC (from our lesion-aware ACT pipeline) vs normative-atlas SDC (LQT / BCBtoolkit) in TBI is a proper head-to-head. Our provenance JSON + Snakemake DAG + container distribution + open-code repo directly satisfy reproducibility expectations.</w:t>
      </w:r>
    </w:p>
    <w:p>
      <w:pPr>
        <w:pStyle w:val="Heading3"/>
      </w:pPr>
      <w:r>
        <w:t>Framing</w:t>
      </w:r>
    </w:p>
    <w:p>
      <w:r>
        <w:rPr>
          <w:b/>
        </w:rPr>
        <w:t>Working title:</w:t>
      </w:r>
      <w:r>
        <w:t xml:space="preserve"> </w:t>
      </w:r>
      <w:r>
        <w:rPr>
          <w:i/>
        </w:rPr>
        <w:t>Patient-specific lesion-aware disconnectomes in traumatic brain injury: a head-to-head comparison with normative-atlas approaches and consequences for network-level outcome prediction.</w:t>
      </w:r>
    </w:p>
    <w:p>
      <w:r>
        <w:rPr>
          <w:b/>
        </w:rPr>
        <w:t>One-sentence claim:</w:t>
      </w:r>
      <w:r>
        <w:t xml:space="preserve"> In TBI, patient-specific lesion-aware structural disconnection matrices diverge systematically from normative-atlas disconnection maps, and the divergence carries clinical signal that improves prediction of functional-connectivity disruption and behavior beyond normative-atlas SDC alone.</w:t>
      </w:r>
    </w:p>
    <w:p>
      <w:r>
        <w:rPr>
          <w:b/>
        </w:rPr>
        <w:t>Abstract shape (~250 words):</w:t>
      </w:r>
    </w:p>
    <w:p>
      <w:pPr>
        <w:ind w:left="432"/>
      </w:pPr>
      <w:r>
        <w:rPr>
          <w:color w:val="999999"/>
        </w:rPr>
        <w:t xml:space="preserve">│  </w:t>
      </w:r>
      <w:r>
        <w:rPr>
          <w:i/>
        </w:rPr>
        <w:t>Background.</w:t>
      </w:r>
      <w:r>
        <w:t xml:space="preserve"> Structural disconnection (SDC) has emerged as a key mediator between focal brain lesions and network-level dysfunction. Existing SDC pipelines (LQT, BCBtoolkit) overlay lesion masks on normative white-matter atlases (HCP-842), avoiding patient-specific tractography but assuming that individual anatomy conforms to a healthy template.</w:t>
      </w:r>
    </w:p>
    <w:p>
      <w:pPr>
        <w:ind w:left="432"/>
      </w:pPr>
      <w:r>
        <w:rPr>
          <w:color w:val="999999"/>
        </w:rPr>
        <w:t xml:space="preserve">│  </w:t>
      </w:r>
    </w:p>
    <w:p>
      <w:pPr>
        <w:ind w:left="432"/>
      </w:pPr>
      <w:r>
        <w:rPr>
          <w:color w:val="999999"/>
        </w:rPr>
        <w:t xml:space="preserve">│  </w:t>
      </w:r>
      <w:r>
        <w:rPr>
          <w:i/>
        </w:rPr>
        <w:t>Question.</w:t>
      </w:r>
      <w:r>
        <w:t xml:space="preserve"> In traumatic brain injury — where mass effect, oedema, and bilateral injury deform individual anatomy — does patient-specific lesion-aware tractography produce different SDC estimates than normative-atlas overlay, and does the difference matter for downstream network and behavioral prediction?</w:t>
      </w:r>
    </w:p>
    <w:p>
      <w:pPr>
        <w:ind w:left="432"/>
      </w:pPr>
      <w:r>
        <w:rPr>
          <w:color w:val="999999"/>
        </w:rPr>
        <w:t xml:space="preserve">│  </w:t>
      </w:r>
    </w:p>
    <w:p>
      <w:pPr>
        <w:ind w:left="432"/>
      </w:pPr>
      <w:r>
        <w:rPr>
          <w:color w:val="999999"/>
        </w:rPr>
        <w:t xml:space="preserve">│  </w:t>
      </w:r>
      <w:r>
        <w:rPr>
          <w:i/>
        </w:rPr>
        <w:t>Methods.</w:t>
      </w:r>
      <w:r>
        <w:t xml:space="preserve"> On N=[cohort] TrackTBI subjects with clinician-traced lesion masks, we computed SDC using (1) our patient-specific lesion-aware pipeline (MRtrix </w:t>
      </w:r>
      <w:r>
        <w:rPr>
          <w:rFonts w:ascii="Consolas" w:hAnsi="Consolas"/>
          <w:sz w:val="20"/>
        </w:rPr>
        <w:t>5ttedit -path</w:t>
      </w:r>
      <w:r>
        <w:t>, iFOD2 + SIFT2, DKT parcellation) and (2) two normative-atlas tools (LQT, BCBtoolkit). We compared SDC maps voxel- and edge-wise, and evaluated each SDC representation's ability to predict resting-state functional connectivity disruption and 6-month GOSE.</w:t>
      </w:r>
    </w:p>
    <w:p>
      <w:pPr>
        <w:ind w:left="432"/>
      </w:pPr>
      <w:r>
        <w:rPr>
          <w:color w:val="999999"/>
        </w:rPr>
        <w:t xml:space="preserve">│  </w:t>
      </w:r>
    </w:p>
    <w:p>
      <w:pPr>
        <w:ind w:left="432"/>
      </w:pPr>
      <w:r>
        <w:rPr>
          <w:color w:val="999999"/>
        </w:rPr>
        <w:t xml:space="preserve">│  </w:t>
      </w:r>
      <w:r>
        <w:rPr>
          <w:i/>
        </w:rPr>
        <w:t>Results.</w:t>
      </w:r>
      <w:r>
        <w:t xml:space="preserve"> Patient-specific SDC diverged from normative-atlas SDC in [X]% of subjects at edge magnitudes exceeding [Y]. Divergence was largest in subjects with [feature]. Patient-specific SDC predicted FC disruption with cross-validated R² of [Z], vs LQT [Z1]; and GOSE with AUC [W], vs LQT [W1]. Divergence and improvement in prediction were correlated at [ρ].</w:t>
      </w:r>
    </w:p>
    <w:p>
      <w:pPr>
        <w:ind w:left="432"/>
      </w:pPr>
      <w:r>
        <w:rPr>
          <w:color w:val="999999"/>
        </w:rPr>
        <w:t xml:space="preserve">│  </w:t>
      </w:r>
    </w:p>
    <w:p>
      <w:pPr>
        <w:ind w:left="432"/>
      </w:pPr>
      <w:r>
        <w:rPr>
          <w:color w:val="999999"/>
        </w:rPr>
        <w:t xml:space="preserve">│  </w:t>
      </w:r>
      <w:r>
        <w:rPr>
          <w:i/>
        </w:rPr>
        <w:t>Interpretation.</w:t>
      </w:r>
      <w:r>
        <w:t xml:space="preserve"> Normative-atlas SDC underestimates or misroutes disconnection in TBI. Patient-specific lesion-aware tractography, previously considered too fragile in lesioned brains, is now feasible and produces clinically meaningful improvements.</w:t>
      </w:r>
    </w:p>
    <w:p>
      <w:pPr>
        <w:pStyle w:val="Heading3"/>
      </w:pPr>
      <w:r>
        <w:t>Analysis required</w:t>
      </w:r>
    </w:p>
    <w:p>
      <w:pPr>
        <w:pStyle w:val="ListNumber"/>
      </w:pPr>
      <w:r>
        <w:t>Complete our factorial pipeline on the Paper 2 subset with the fixed arm (</w:t>
      </w:r>
      <w:r>
        <w:rPr>
          <w:rFonts w:ascii="Consolas" w:hAnsi="Consolas"/>
          <w:sz w:val="20"/>
        </w:rPr>
        <w:t>neurolit-lesion</w:t>
      </w:r>
      <w:r>
        <w:t xml:space="preserve"> default; consider </w:t>
      </w:r>
      <w:r>
        <w:rPr>
          <w:rFonts w:ascii="Consolas" w:hAnsi="Consolas"/>
          <w:sz w:val="20"/>
        </w:rPr>
        <w:t>vbt-lesion</w:t>
      </w:r>
      <w:r>
        <w:t xml:space="preserve"> as sensitivity).</w:t>
      </w:r>
    </w:p>
    <w:p>
      <w:pPr>
        <w:pStyle w:val="ListNumber"/>
      </w:pPr>
      <w:r>
        <w:t>Run LQT on the same subjects — install the MATLAB toolkit, normalize lesion masks to MNI (already done by pipeline for other purposes), export parcel-to-parcel SDC matrices.</w:t>
      </w:r>
    </w:p>
    <w:p>
      <w:pPr>
        <w:pStyle w:val="ListNumber"/>
      </w:pPr>
      <w:r>
        <w:t>Run BCBtoolkit on the same subjects — install, produce voxel-level disconnection probability maps and (optionally) Tractotron tract-level output.</w:t>
      </w:r>
    </w:p>
    <w:p>
      <w:pPr>
        <w:pStyle w:val="ListNumber"/>
      </w:pPr>
      <w:r>
        <w:t>Edge-wise comparison: correlate patient-specific SDC and LQT SDC matrices per subject. Report distribution of correlations, cases with r &lt; 0.5, and identify subject-level features (lesion volume, lesion location, mass-effect severity) predicting divergence.</w:t>
      </w:r>
    </w:p>
    <w:p>
      <w:pPr>
        <w:pStyle w:val="ListNumber"/>
      </w:pPr>
      <w:r>
        <w:t>Voxel-wise comparison: overlay BCB disconnection probability maps with our patient-specific tract-level disconnection scores, report spatial concordance.</w:t>
      </w:r>
    </w:p>
    <w:p>
      <w:pPr>
        <w:pStyle w:val="ListNumber"/>
      </w:pPr>
      <w:r>
        <w:t>Downstream test 1: predict resting-state FC abnormality from each SDC representation using CCA or ridge regression, cross-validated across subjects, permutation-tested for significance.</w:t>
      </w:r>
    </w:p>
    <w:p>
      <w:pPr>
        <w:pStyle w:val="ListNumber"/>
      </w:pPr>
      <w:r>
        <w:t>Downstream test 2: predict 6-month GOSE from each SDC representation, controlling for lesion volume + age + sex + GCS.</w:t>
      </w:r>
    </w:p>
    <w:p>
      <w:pPr>
        <w:pStyle w:val="ListNumber"/>
      </w:pPr>
      <w:r>
        <w:t>Robustness: reproduce with alternative parcellation (Schaefer 200) and alternative fixed arm (</w:t>
      </w:r>
      <w:r>
        <w:rPr>
          <w:rFonts w:ascii="Consolas" w:hAnsi="Consolas"/>
          <w:sz w:val="20"/>
        </w:rPr>
        <w:t>vbt-lesion</w:t>
      </w:r>
      <w:r>
        <w:t>).</w:t>
      </w:r>
    </w:p>
    <w:p>
      <w:pPr>
        <w:pStyle w:val="ListNumber"/>
      </w:pPr>
      <w:r>
        <w:t>Reproducibility supplement: container digests, provenance JSON schema, code repo tag.</w:t>
      </w:r>
    </w:p>
    <w:p>
      <w:pPr>
        <w:pStyle w:val="Heading3"/>
      </w:pPr>
      <w:r>
        <w:t>Manuscript breakdown</w:t>
      </w:r>
    </w:p>
    <w:p>
      <w:r>
        <w:rPr>
          <w:b/>
        </w:rPr>
        <w:t>Title.</w:t>
      </w:r>
      <w:r>
        <w:t xml:space="preserve"> As above.</w:t>
      </w:r>
    </w:p>
    <w:p>
      <w:r>
        <w:rPr>
          <w:b/>
        </w:rPr>
        <w:t>Abstract.</w:t>
      </w:r>
      <w:r>
        <w:t xml:space="preserve"> ~250 words as sketched.</w:t>
      </w:r>
    </w:p>
    <w:p>
      <w:r>
        <w:rPr>
          <w:b/>
        </w:rPr>
        <w:t>Introduction (~1000 words).</w:t>
      </w:r>
    </w:p>
    <w:p>
      <w:pPr>
        <w:pStyle w:val="ListBullet"/>
      </w:pPr>
      <w:r>
        <w:t>Widespread network dysfunction after focal lesions — Griffis et al. 2019 for stroke.</w:t>
      </w:r>
    </w:p>
    <w:p>
      <w:pPr>
        <w:pStyle w:val="ListBullet"/>
      </w:pPr>
      <w:r>
        <w:t>SDC as a mediator between lesion and network dysfunction.</w:t>
      </w:r>
    </w:p>
    <w:p>
      <w:pPr>
        <w:pStyle w:val="ListBullet"/>
      </w:pPr>
      <w:r>
        <w:t>Normative-atlas approaches (LQT, BCBtoolkit) are the current standard — reasons they became dominant (scalable, no patient DWI needed).</w:t>
      </w:r>
    </w:p>
    <w:p>
      <w:pPr>
        <w:pStyle w:val="ListBullet"/>
      </w:pPr>
      <w:r>
        <w:t>Limits in TBI specifically: heterogeneous mass effect, oedema, bilateral injury, midline shift; individual anatomy departs from normative template.</w:t>
      </w:r>
    </w:p>
    <w:p>
      <w:pPr>
        <w:pStyle w:val="ListBullet"/>
      </w:pPr>
      <w:r>
        <w:t xml:space="preserve">Our contribution: patient-specific lesion-aware tractography via </w:t>
      </w:r>
      <w:r>
        <w:rPr>
          <w:rFonts w:ascii="Consolas" w:hAnsi="Consolas"/>
          <w:sz w:val="20"/>
        </w:rPr>
        <w:t>5ttedit -path</w:t>
      </w:r>
      <w:r>
        <w:t>, feasibility in TBI, head-to-head with normative-atlas tools, clinical downstream test.</w:t>
      </w:r>
    </w:p>
    <w:p>
      <w:pPr>
        <w:pStyle w:val="ListBullet"/>
      </w:pPr>
      <w:r>
        <w:t>Predictions: SDC divergence larger in high-mass-effect / bilateral subjects; patient-specific SDC improves FC and behavior prediction.</w:t>
      </w:r>
    </w:p>
    <w:p>
      <w:r>
        <w:rPr>
          <w:b/>
        </w:rPr>
        <w:t>Methods (~2500 words).</w:t>
      </w:r>
    </w:p>
    <w:p>
      <w:pPr>
        <w:pStyle w:val="ListBullet"/>
      </w:pPr>
      <w:r>
        <w:t>Cohort: TrackTBI subject subset (N, inclusion criteria, lesion mask provenance).</w:t>
      </w:r>
    </w:p>
    <w:p>
      <w:pPr>
        <w:pStyle w:val="ListBullet"/>
      </w:pPr>
      <w:r>
        <w:t>Imaging: acquisition parameters (T1w, DWI shell b=[value], rs-fMRI TR/TE, sessions).</w:t>
      </w:r>
    </w:p>
    <w:p>
      <w:pPr>
        <w:pStyle w:val="ListBullet"/>
      </w:pPr>
      <w:r>
        <w:t>Preprocessing: QSIPrep pipeline, session/fmap handling, lesion mask registration.</w:t>
      </w:r>
    </w:p>
    <w:p>
      <w:pPr>
        <w:pStyle w:val="ListBullet"/>
      </w:pPr>
      <w:r>
        <w:t xml:space="preserve">Patient-specific SDC: FastSurfer recon, </w:t>
      </w:r>
      <w:r>
        <w:rPr>
          <w:rFonts w:ascii="Consolas" w:hAnsi="Consolas"/>
          <w:sz w:val="20"/>
        </w:rPr>
        <w:t>5ttedit -path</w:t>
      </w:r>
      <w:r>
        <w:t xml:space="preserve"> with lesion mask, iFOD2 tractography, SIFT2 weighting, DKT parcellation, disconnection matrix construction (spared-connectome options A/B/C).</w:t>
      </w:r>
    </w:p>
    <w:p>
      <w:pPr>
        <w:pStyle w:val="ListBullet"/>
      </w:pPr>
      <w:r>
        <w:t>Normative SDC: LQT (Griffis 2021), BCBtoolkit (Foulon 2018) — versions, parameter choices, MNI normalization procedure.</w:t>
      </w:r>
    </w:p>
    <w:p>
      <w:pPr>
        <w:pStyle w:val="ListBullet"/>
      </w:pPr>
      <w:r>
        <w:t>FC processing: fMRIPrep + XCP-D or equivalent, atlas-parcel time series, connectivity matrix.</w:t>
      </w:r>
    </w:p>
    <w:p>
      <w:pPr>
        <w:pStyle w:val="ListBullet"/>
      </w:pPr>
      <w:r>
        <w:t>Clinical outcomes: GOSE at 6 months, covariates (age, sex, education, GCS, lesion volume).</w:t>
      </w:r>
    </w:p>
    <w:p>
      <w:pPr>
        <w:pStyle w:val="ListBullet"/>
      </w:pPr>
      <w:r>
        <w:t>Statistical models: edge-wise correlation, CCA for SDC↔FC, ridge regression with cross-validation, permutation testing.</w:t>
      </w:r>
    </w:p>
    <w:p>
      <w:pPr>
        <w:pStyle w:val="ListBullet"/>
      </w:pPr>
      <w:r>
        <w:t>Software / reproducibility: containers, DAG, provenance JSON, code and container URLs.</w:t>
      </w:r>
    </w:p>
    <w:p>
      <w:r>
        <w:rPr>
          <w:b/>
        </w:rPr>
        <w:t>Results (~2000 words).</w:t>
      </w:r>
    </w:p>
    <w:p>
      <w:pPr>
        <w:pStyle w:val="ListBullet"/>
      </w:pPr>
      <w:r>
        <w:t>Cohort characteristics table.</w:t>
      </w:r>
    </w:p>
    <w:p>
      <w:pPr>
        <w:pStyle w:val="ListBullet"/>
      </w:pPr>
      <w:r>
        <w:t>Figure 1: pipeline schematic (patient-specific vs normative).</w:t>
      </w:r>
    </w:p>
    <w:p>
      <w:pPr>
        <w:pStyle w:val="ListBullet"/>
      </w:pPr>
      <w:r>
        <w:t>Figure 2: representative subject — lesion + patient-specific SDC + LQT SDC + BCB disconnection map side by side.</w:t>
      </w:r>
    </w:p>
    <w:p>
      <w:pPr>
        <w:pStyle w:val="ListBullet"/>
      </w:pPr>
      <w:r>
        <w:t>Figure 3: cohort-wide SDC concordance distribution (violin plot per method-pair); scatter of concordance vs lesion volume / mass-effect metric.</w:t>
      </w:r>
    </w:p>
    <w:p>
      <w:pPr>
        <w:pStyle w:val="ListBullet"/>
      </w:pPr>
      <w:r>
        <w:t>Figure 4: FC prediction — cross-validated R² per SDC representation, per network.</w:t>
      </w:r>
    </w:p>
    <w:p>
      <w:pPr>
        <w:pStyle w:val="ListBullet"/>
      </w:pPr>
      <w:r>
        <w:t>Figure 5: GOSE prediction — ROC / AUC per SDC representation, with lesion-volume-only baseline.</w:t>
      </w:r>
    </w:p>
    <w:p>
      <w:pPr>
        <w:pStyle w:val="ListBullet"/>
      </w:pPr>
      <w:r>
        <w:t>Table 1: SDC divergence stratified by lesion location (frontal / temporal / parietal / occipital / bilateral).</w:t>
      </w:r>
    </w:p>
    <w:p>
      <w:pPr>
        <w:pStyle w:val="ListBullet"/>
      </w:pPr>
      <w:r>
        <w:t>Table 2: incremental-validity model comparison (nested model AIC/BIC).</w:t>
      </w:r>
    </w:p>
    <w:p>
      <w:r>
        <w:rPr>
          <w:b/>
        </w:rPr>
        <w:t>Discussion (~1500 words).</w:t>
      </w:r>
    </w:p>
    <w:p>
      <w:pPr>
        <w:pStyle w:val="ListBullet"/>
      </w:pPr>
      <w:r>
        <w:t>Interpretation of divergence: where and why patient-specific SDC differs.</w:t>
      </w:r>
    </w:p>
    <w:p>
      <w:pPr>
        <w:pStyle w:val="ListBullet"/>
      </w:pPr>
      <w:r>
        <w:t>Clinical implications: which patient subgroups benefit most from patient-specific processing.</w:t>
      </w:r>
    </w:p>
    <w:p>
      <w:pPr>
        <w:pStyle w:val="ListBullet"/>
      </w:pPr>
      <w:r>
        <w:t>Comparison to Griffis 2019 (stroke): expect smaller divergence there — testable prediction.</w:t>
      </w:r>
    </w:p>
    <w:p>
      <w:pPr>
        <w:pStyle w:val="ListBullet"/>
      </w:pPr>
      <w:r>
        <w:t>Limitations: single-cohort, single-site, N constrained by lesion-mask + rs-fMRI + GOSE overlap.</w:t>
      </w:r>
    </w:p>
    <w:p>
      <w:pPr>
        <w:pStyle w:val="ListBullet"/>
      </w:pPr>
      <w:r>
        <w:t>Future directions: replication cohort, expansion to Deep Atropos 5TT, synthetic-MRI extension for CT-only subjects.</w:t>
      </w:r>
    </w:p>
    <w:p>
      <w:r>
        <w:rPr>
          <w:b/>
        </w:rPr>
        <w:t>Data and code availability.</w:t>
      </w:r>
      <w:r>
        <w:t xml:space="preserve"> BIDS derivatives on [repo], containers on GHCR + DockerHub, code on GitHub at tagged release.</w:t>
      </w:r>
    </w:p>
    <w:p>
      <w:r>
        <w:rPr>
          <w:b/>
        </w:rPr>
        <w:t>Supplement (~2000 words).</w:t>
      </w:r>
    </w:p>
    <w:p>
      <w:pPr>
        <w:pStyle w:val="ListBullet"/>
      </w:pPr>
      <w:r>
        <w:t>S1: fMRI preprocessing details (fMRIPrep version, XCP-D pipeline, motion QC).</w:t>
      </w:r>
    </w:p>
    <w:p>
      <w:pPr>
        <w:pStyle w:val="ListBullet"/>
      </w:pPr>
      <w:r>
        <w:t>S2: LQT and BCBtoolkit parameter tables.</w:t>
      </w:r>
    </w:p>
    <w:p>
      <w:pPr>
        <w:pStyle w:val="ListBullet"/>
      </w:pPr>
      <w:r>
        <w:t>S3: Alternative-parcellation robustness (Schaefer 200).</w:t>
      </w:r>
    </w:p>
    <w:p>
      <w:pPr>
        <w:pStyle w:val="ListBullet"/>
      </w:pPr>
      <w:r>
        <w:t>S4: Alternative fixed-arm robustness (</w:t>
      </w:r>
      <w:r>
        <w:rPr>
          <w:rFonts w:ascii="Consolas" w:hAnsi="Consolas"/>
          <w:sz w:val="20"/>
        </w:rPr>
        <w:t>vbt-lesion</w:t>
      </w:r>
      <w:r>
        <w:t>).</w:t>
      </w:r>
    </w:p>
    <w:p>
      <w:pPr>
        <w:pStyle w:val="ListBullet"/>
      </w:pPr>
      <w:r>
        <w:t>S5: Provenance JSON schema example.</w:t>
      </w:r>
    </w:p>
    <w:p>
      <w:pPr>
        <w:pStyle w:val="ListBullet"/>
      </w:pPr>
      <w:r>
        <w:t>S6: Container digest table + reproducibility instructions.</w:t>
      </w:r>
    </w:p>
    <w:p>
      <w:r>
        <w:rPr>
          <w:b/>
        </w:rPr>
        <w:t>Figures: 5 main + 6 supplement.</w:t>
      </w:r>
      <w:r>
        <w:t xml:space="preserve"> </w:t>
      </w:r>
      <w:r>
        <w:rPr>
          <w:b/>
        </w:rPr>
        <w:t>Tables: 2 main + 3 supplement.</w:t>
      </w:r>
    </w:p>
    <w:p>
      <w:pPr>
        <w:pStyle w:val="Heading3"/>
      </w:pPr>
      <w:r>
        <w:t>Effort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Effort</w:t>
            </w:r>
          </w:p>
        </w:tc>
      </w:tr>
      <w:tr>
        <w:tc>
          <w:tcPr>
            <w:tcW w:type="dxa" w:w="4824"/>
          </w:tcPr>
          <w:p>
            <w:r/>
            <w:r>
              <w:t>Complete cohort processing (fixed arm)</w:t>
            </w:r>
          </w:p>
        </w:tc>
        <w:tc>
          <w:tcPr>
            <w:tcW w:type="dxa" w:w="4824"/>
          </w:tcPr>
          <w:p>
            <w:r/>
            <w:r>
              <w:t>2 weeks compute + 1 week QC</w:t>
            </w:r>
          </w:p>
        </w:tc>
      </w:tr>
      <w:tr>
        <w:tc>
          <w:tcPr>
            <w:tcW w:type="dxa" w:w="4824"/>
          </w:tcPr>
          <w:p>
            <w:r/>
            <w:r>
              <w:t>LQT install + run on all subjects</w:t>
            </w:r>
          </w:p>
        </w:tc>
        <w:tc>
          <w:tcPr>
            <w:tcW w:type="dxa" w:w="4824"/>
          </w:tcPr>
          <w:p>
            <w:r/>
            <w:r>
              <w:t>2 weeks</w:t>
            </w:r>
          </w:p>
        </w:tc>
      </w:tr>
      <w:tr>
        <w:tc>
          <w:tcPr>
            <w:tcW w:type="dxa" w:w="4824"/>
          </w:tcPr>
          <w:p>
            <w:r/>
            <w:r>
              <w:t>BCBtoolkit install + run on all subjects</w:t>
            </w:r>
          </w:p>
        </w:tc>
        <w:tc>
          <w:tcPr>
            <w:tcW w:type="dxa" w:w="4824"/>
          </w:tcPr>
          <w:p>
            <w:r/>
            <w:r>
              <w:t>2 weeks</w:t>
            </w:r>
          </w:p>
        </w:tc>
      </w:tr>
      <w:tr>
        <w:tc>
          <w:tcPr>
            <w:tcW w:type="dxa" w:w="4824"/>
          </w:tcPr>
          <w:p>
            <w:r/>
            <w:r>
              <w:t>fMRI preprocessing arm (fMRIPrep + XCP-D)</w:t>
            </w:r>
          </w:p>
        </w:tc>
        <w:tc>
          <w:tcPr>
            <w:tcW w:type="dxa" w:w="4824"/>
          </w:tcPr>
          <w:p>
            <w:r/>
            <w:r>
              <w:t>3 weeks build + 2 weeks compute</w:t>
            </w:r>
          </w:p>
        </w:tc>
      </w:tr>
      <w:tr>
        <w:tc>
          <w:tcPr>
            <w:tcW w:type="dxa" w:w="4824"/>
          </w:tcPr>
          <w:p>
            <w:r/>
            <w:r>
              <w:t>SDC divergence analysis</w:t>
            </w:r>
          </w:p>
        </w:tc>
        <w:tc>
          <w:tcPr>
            <w:tcW w:type="dxa" w:w="4824"/>
          </w:tcPr>
          <w:p>
            <w:r/>
            <w:r>
              <w:t>2 weeks</w:t>
            </w:r>
          </w:p>
        </w:tc>
      </w:tr>
      <w:tr>
        <w:tc>
          <w:tcPr>
            <w:tcW w:type="dxa" w:w="4824"/>
          </w:tcPr>
          <w:p>
            <w:r/>
            <w:r>
              <w:t>CCA / ridge regression modeling</w:t>
            </w:r>
          </w:p>
        </w:tc>
        <w:tc>
          <w:tcPr>
            <w:tcW w:type="dxa" w:w="4824"/>
          </w:tcPr>
          <w:p>
            <w:r/>
            <w:r>
              <w:t>3 weeks</w:t>
            </w:r>
          </w:p>
        </w:tc>
      </w:tr>
      <w:tr>
        <w:tc>
          <w:tcPr>
            <w:tcW w:type="dxa" w:w="4824"/>
          </w:tcPr>
          <w:p>
            <w:r/>
            <w:r>
              <w:t>Manuscript drafting</w:t>
            </w:r>
          </w:p>
        </w:tc>
        <w:tc>
          <w:tcPr>
            <w:tcW w:type="dxa" w:w="4824"/>
          </w:tcPr>
          <w:p>
            <w:r/>
            <w:r>
              <w:t>4 weeks</w:t>
            </w:r>
          </w:p>
        </w:tc>
      </w:tr>
      <w:tr>
        <w:tc>
          <w:tcPr>
            <w:tcW w:type="dxa" w:w="4824"/>
          </w:tcPr>
          <w:p>
            <w:r/>
            <w:r>
              <w:t>Supplement + code release</w:t>
            </w:r>
          </w:p>
        </w:tc>
        <w:tc>
          <w:tcPr>
            <w:tcW w:type="dxa" w:w="4824"/>
          </w:tcPr>
          <w:p>
            <w:r/>
            <w:r>
              <w:t>2 weeks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 (calendar time with overlap)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~4 months</w:t>
            </w:r>
          </w:p>
        </w:tc>
      </w:tr>
    </w:tbl>
    <w:p/>
    <w:p>
      <w:pPr>
        <w:pStyle w:val="Heading3"/>
      </w:pPr>
      <w:r>
        <w:t>Risk / failure modes</w:t>
      </w:r>
    </w:p>
    <w:p>
      <w:pPr>
        <w:pStyle w:val="ListBullet"/>
      </w:pPr>
      <w:r>
        <w:rPr>
          <w:b/>
        </w:rPr>
        <w:t>Divergence is small</w:t>
      </w:r>
      <w:r>
        <w:t xml:space="preserve"> — patient-specific and normative SDC agree within noise → methods contribution collapses; fall back to biology-lead (Brain / HBM) or supplement.</w:t>
      </w:r>
    </w:p>
    <w:p>
      <w:pPr>
        <w:pStyle w:val="ListBullet"/>
      </w:pPr>
      <w:r>
        <w:rPr>
          <w:b/>
        </w:rPr>
        <w:t>LQT MATLAB dependency</w:t>
      </w:r>
      <w:r>
        <w:t xml:space="preserve"> — MATLAB-only install may be a barrier; may need to port to Python or use a container.</w:t>
      </w:r>
    </w:p>
    <w:p>
      <w:pPr>
        <w:pStyle w:val="ListBullet"/>
      </w:pPr>
      <w:r>
        <w:rPr>
          <w:b/>
        </w:rPr>
        <w:t>BCBtoolkit installation friction</w:t>
      </w:r>
      <w:r>
        <w:t xml:space="preserve"> — historically MATLAB + FSL wrapper; Python components newer.</w:t>
      </w:r>
    </w:p>
    <w:p>
      <w:pPr>
        <w:pStyle w:val="ListBullet"/>
      </w:pPr>
      <w:r>
        <w:rPr>
          <w:b/>
        </w:rPr>
        <w:t>fMRI arm not yet in pipeline</w:t>
      </w:r>
      <w:r>
        <w:t xml:space="preserve"> — real engineering to build.</w:t>
      </w:r>
    </w:p>
    <w:p>
      <w:pPr>
        <w:pStyle w:val="ListBullet"/>
      </w:pPr>
      <w:r>
        <w:rPr>
          <w:b/>
        </w:rPr>
        <w:t>Reviewer demand for replication cohort</w:t>
      </w:r>
      <w:r>
        <w:t xml:space="preserve"> — NeuroImage may accept without one; expect at least a request for stronger justification if we don't have it.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Brain — biology-lead (realistic primary target)</w:t>
      </w:r>
    </w:p>
    <w:p>
      <w:pPr>
        <w:pStyle w:val="Heading3"/>
      </w:pPr>
      <w:r>
        <w:t>Editorial identity</w:t>
      </w:r>
    </w:p>
    <w:p>
      <w:pPr>
        <w:pStyle w:val="ListBullet"/>
      </w:pPr>
      <w:r>
        <w:rPr>
          <w:b/>
        </w:rPr>
        <w:t>Reader base:</w:t>
      </w:r>
      <w:r>
        <w:t xml:space="preserve"> clinical neurologists, translational cognitive neuroscientists in clinical departments.</w:t>
      </w:r>
    </w:p>
    <w:p>
      <w:pPr>
        <w:pStyle w:val="ListBullet"/>
      </w:pPr>
      <w:r>
        <w:rPr>
          <w:b/>
        </w:rPr>
        <w:t>Reviewers reward:</w:t>
      </w:r>
      <w:r>
        <w:t xml:space="preserve"> biological/mechanistic story with clinical implications, symptom-anatomy-mechanism triads, prognostic value, cohort-level generalizability, novel clinical insights.</w:t>
      </w:r>
    </w:p>
    <w:p>
      <w:pPr>
        <w:pStyle w:val="ListBullet"/>
      </w:pPr>
      <w:r>
        <w:rPr>
          <w:b/>
        </w:rPr>
        <w:t>Reviewers reject on:</w:t>
      </w:r>
      <w:r>
        <w:t xml:space="preserve"> pure methods papers, no clinical interpretation, case reports, unclear biology, weak clinical justification.</w:t>
      </w:r>
    </w:p>
    <w:p>
      <w:pPr>
        <w:pStyle w:val="ListBullet"/>
      </w:pPr>
      <w:r>
        <w:rPr>
          <w:b/>
        </w:rPr>
        <w:t>Our fit:</w:t>
      </w:r>
      <w:r>
        <w:t xml:space="preserve"> SC → FC → behavior chain in TBI (defined patient population, ~2M/year US, real clinical decision-support relevance); the Griffis 2019 stroke → TBI extension is a documented empty niche.</w:t>
      </w:r>
    </w:p>
    <w:p>
      <w:pPr>
        <w:pStyle w:val="Heading3"/>
      </w:pPr>
      <w:r>
        <w:t>Framing</w:t>
      </w:r>
    </w:p>
    <w:p>
      <w:r>
        <w:rPr>
          <w:b/>
        </w:rPr>
        <w:t>Working title:</w:t>
      </w:r>
      <w:r>
        <w:t xml:space="preserve"> </w:t>
      </w:r>
      <w:r>
        <w:rPr>
          <w:i/>
        </w:rPr>
        <w:t>Structural disconnection mediates functional network dysfunction and predicts cognitive recovery after traumatic brain injury.</w:t>
      </w:r>
    </w:p>
    <w:p>
      <w:r>
        <w:rPr>
          <w:b/>
        </w:rPr>
        <w:t>One-sentence claim:</w:t>
      </w:r>
      <w:r>
        <w:t xml:space="preserve"> Lesion-aware structural disconnection in TBI mechanistically explains resting-state functional connectivity disruption and predicts domain-specific cognitive outcome at 6 months, beyond what lesion volume or location alone can explain.</w:t>
      </w:r>
    </w:p>
    <w:p>
      <w:r>
        <w:rPr>
          <w:b/>
        </w:rPr>
        <w:t>Abstract shape (~250 words):</w:t>
      </w:r>
    </w:p>
    <w:p>
      <w:pPr>
        <w:ind w:left="432"/>
      </w:pPr>
      <w:r>
        <w:rPr>
          <w:color w:val="999999"/>
        </w:rPr>
        <w:t xml:space="preserve">│  </w:t>
      </w:r>
      <w:r>
        <w:rPr>
          <w:i/>
        </w:rPr>
        <w:t>Background.</w:t>
      </w:r>
      <w:r>
        <w:t xml:space="preserve"> Focal traumatic brain injury (TBI) produces cognitive and functional deficits that often exceed what would be expected from local damage alone. In stroke, structural disconnection of white-matter tracts has been shown to mechanistically explain widespread functional network dysfunction (Griffis et al. 2019). Whether the same mechanism generalizes to TBI — where lesions are morphologically more heterogeneous — is unknown.</w:t>
      </w:r>
    </w:p>
    <w:p>
      <w:pPr>
        <w:ind w:left="432"/>
      </w:pPr>
      <w:r>
        <w:rPr>
          <w:color w:val="999999"/>
        </w:rPr>
        <w:t xml:space="preserve">│  </w:t>
      </w:r>
    </w:p>
    <w:p>
      <w:pPr>
        <w:ind w:left="432"/>
      </w:pPr>
      <w:r>
        <w:rPr>
          <w:color w:val="999999"/>
        </w:rPr>
        <w:t xml:space="preserve">│  </w:t>
      </w:r>
      <w:r>
        <w:rPr>
          <w:i/>
        </w:rPr>
        <w:t>Methods.</w:t>
      </w:r>
      <w:r>
        <w:t xml:space="preserve"> We processed N=[cohort] TrackTBI subjects with clinician-traced lesion masks through a lesion-aware structural connectome pipeline that inserts individual lesion masks into MRtrix's pathology channel during tractography. We computed patient-specific structural disconnection matrices, resting-state functional connectivity, and correlated both with 6-month Glasgow Outcome Scale-Extended (GOSE) and multi-domain neuropsychological composites (processing speed, executive function, memory, language).</w:t>
      </w:r>
    </w:p>
    <w:p>
      <w:pPr>
        <w:ind w:left="432"/>
      </w:pPr>
      <w:r>
        <w:rPr>
          <w:color w:val="999999"/>
        </w:rPr>
        <w:t xml:space="preserve">│  </w:t>
      </w:r>
    </w:p>
    <w:p>
      <w:pPr>
        <w:ind w:left="432"/>
      </w:pPr>
      <w:r>
        <w:rPr>
          <w:color w:val="999999"/>
        </w:rPr>
        <w:t xml:space="preserve">│  </w:t>
      </w:r>
      <w:r>
        <w:rPr>
          <w:i/>
        </w:rPr>
        <w:t>Results.</w:t>
      </w:r>
      <w:r>
        <w:t xml:space="preserve"> Structural disconnection was spatially concordant with functional connectivity disruption (canonical correlation r = [X], p &lt; 0.001) across all subjects. Disconnection scores in domain-specific networks predicted domain-specific cognitive deficits (attention → dorsal attention network SDC; memory → medial temporal SDC; executive → fronto-parietal SDC). Structural disconnection improved 6-month GOSE prediction over a lesion-volume + demographics baseline (ΔAUC = [Y], cross-validated).</w:t>
      </w:r>
    </w:p>
    <w:p>
      <w:pPr>
        <w:ind w:left="432"/>
      </w:pPr>
      <w:r>
        <w:rPr>
          <w:color w:val="999999"/>
        </w:rPr>
        <w:t xml:space="preserve">│  </w:t>
      </w:r>
    </w:p>
    <w:p>
      <w:pPr>
        <w:ind w:left="432"/>
      </w:pPr>
      <w:r>
        <w:rPr>
          <w:color w:val="999999"/>
        </w:rPr>
        <w:t xml:space="preserve">│  </w:t>
      </w:r>
      <w:r>
        <w:rPr>
          <w:i/>
        </w:rPr>
        <w:t>Interpretation.</w:t>
      </w:r>
      <w:r>
        <w:t xml:space="preserve"> In TBI, focal lesions produce widespread network dysfunction via structural disconnection of long-range tracts. Disconnection-based biomarkers offer clinically actionable prognostic value that lesion volume alone does not capture. These findings extend the Griffis 2019 disconnection framework from stroke to TBI and support incorporating tract-level disconnection into TBI recovery models.</w:t>
      </w:r>
    </w:p>
    <w:p>
      <w:pPr>
        <w:pStyle w:val="Heading3"/>
      </w:pPr>
      <w:r>
        <w:t>Analysis required</w:t>
      </w:r>
    </w:p>
    <w:p>
      <w:pPr>
        <w:pStyle w:val="ListNumber"/>
      </w:pPr>
      <w:r>
        <w:t>Complete cohort processing on fixed arm (</w:t>
      </w:r>
      <w:r>
        <w:rPr>
          <w:rFonts w:ascii="Consolas" w:hAnsi="Consolas"/>
          <w:sz w:val="20"/>
        </w:rPr>
        <w:t>neurolit-lesion</w:t>
      </w:r>
      <w:r>
        <w:t xml:space="preserve"> default).</w:t>
      </w:r>
    </w:p>
    <w:p>
      <w:pPr>
        <w:pStyle w:val="ListNumber"/>
      </w:pPr>
      <w:r>
        <w:t>rs-fMRI processing (fMRIPrep + XCP-D) → FC matrices.</w:t>
      </w:r>
    </w:p>
    <w:p>
      <w:pPr>
        <w:pStyle w:val="ListNumber"/>
      </w:pPr>
      <w:r>
        <w:t>FC abnormality per subject vs a healthy-control normative distribution (borrow CIDUR controls, ~26 with rs-fMRI if available; else public HCP normative distribution).</w:t>
      </w:r>
    </w:p>
    <w:p>
      <w:pPr>
        <w:pStyle w:val="ListNumber"/>
      </w:pPr>
      <w:r>
        <w:t>CCA analysis: SDC ↔ FC-abnormality — replicate Griffis 2019 method.</w:t>
      </w:r>
    </w:p>
    <w:p>
      <w:pPr>
        <w:pStyle w:val="ListNumber"/>
      </w:pPr>
      <w:r>
        <w:t>Domain-specific network → cognitive-composite regressions (Schaefer/Yeo parcellation + neuropsych factor scores).</w:t>
      </w:r>
    </w:p>
    <w:p>
      <w:pPr>
        <w:pStyle w:val="ListNumber"/>
      </w:pPr>
      <w:r>
        <w:t>GOSE ordinal regression with lesion-volume baseline vs SDC-augmented model; cross-validated ΔAUC + permutation testing.</w:t>
      </w:r>
    </w:p>
    <w:p>
      <w:pPr>
        <w:pStyle w:val="ListNumber"/>
      </w:pPr>
      <w:r>
        <w:t>Face-validity figure: group-average disconnectome in MNI, lesion topology overlay.</w:t>
      </w:r>
    </w:p>
    <w:p>
      <w:pPr>
        <w:pStyle w:val="ListNumber"/>
      </w:pPr>
      <w:r>
        <w:t>Subgroup analysis: does the mechanism generalize across lesion locations / severities / mechanisms of injury?</w:t>
      </w:r>
    </w:p>
    <w:p>
      <w:pPr>
        <w:pStyle w:val="Heading3"/>
      </w:pPr>
      <w:r>
        <w:t>Manuscript breakdown</w:t>
      </w:r>
    </w:p>
    <w:p>
      <w:r>
        <w:rPr>
          <w:b/>
        </w:rPr>
        <w:t>Title.</w:t>
      </w:r>
      <w:r>
        <w:t xml:space="preserve"> As above.</w:t>
      </w:r>
    </w:p>
    <w:p>
      <w:r>
        <w:rPr>
          <w:b/>
        </w:rPr>
        <w:t>Abstract.</w:t>
      </w:r>
      <w:r>
        <w:t xml:space="preserve"> ~250 words as sketched.</w:t>
      </w:r>
    </w:p>
    <w:p>
      <w:r>
        <w:rPr>
          <w:b/>
        </w:rPr>
        <w:t>Introduction (~1200 words).</w:t>
      </w:r>
    </w:p>
    <w:p>
      <w:pPr>
        <w:pStyle w:val="ListBullet"/>
      </w:pPr>
      <w:r>
        <w:t>Widespread post-TBI network dysfunction — brief clinical framing (2M/year, chronic sequelae).</w:t>
      </w:r>
    </w:p>
    <w:p>
      <w:pPr>
        <w:pStyle w:val="ListBullet"/>
      </w:pPr>
      <w:r>
        <w:t>Griffis 2019 stroke framework — SC → FC → behavior — and why TBI is a natural next test case.</w:t>
      </w:r>
    </w:p>
    <w:p>
      <w:pPr>
        <w:pStyle w:val="ListBullet"/>
      </w:pPr>
      <w:r>
        <w:t>Existing TBI network work (Palacios, Kuceyeski, Warren) and its limits.</w:t>
      </w:r>
    </w:p>
    <w:p>
      <w:pPr>
        <w:pStyle w:val="ListBullet"/>
      </w:pPr>
      <w:r>
        <w:t>Our contribution: first cohort-scale disconnection-based mechanism paper in TBI with prospective SC → FC → behavior model.</w:t>
      </w:r>
    </w:p>
    <w:p>
      <w:pPr>
        <w:pStyle w:val="ListBullet"/>
      </w:pPr>
      <w:r>
        <w:t>Predictions.</w:t>
      </w:r>
    </w:p>
    <w:p>
      <w:r>
        <w:rPr>
          <w:b/>
        </w:rPr>
        <w:t>Methods (~2500 words).</w:t>
      </w:r>
    </w:p>
    <w:p>
      <w:pPr>
        <w:pStyle w:val="ListBullet"/>
      </w:pPr>
      <w:r>
        <w:t>Cohort: TrackTBI subject subset — inclusion / exclusion / demographics / clinical severity distribution.</w:t>
      </w:r>
    </w:p>
    <w:p>
      <w:pPr>
        <w:pStyle w:val="ListBullet"/>
      </w:pPr>
      <w:r>
        <w:t>Imaging: T1w, DWI, rs-fMRI acquisition + preprocessing (references cite Palacios 2022 for TRACK-TBI protocol).</w:t>
      </w:r>
    </w:p>
    <w:p>
      <w:pPr>
        <w:pStyle w:val="ListBullet"/>
      </w:pPr>
      <w:r>
        <w:t>Structural disconnection: lesion-aware pipeline (brief; cite our methods paper for full).</w:t>
      </w:r>
    </w:p>
    <w:p>
      <w:pPr>
        <w:pStyle w:val="ListBullet"/>
      </w:pPr>
      <w:r>
        <w:t>Functional connectivity: fMRIPrep + XCP-D + parcellation + connectivity matrix construction.</w:t>
      </w:r>
    </w:p>
    <w:p>
      <w:pPr>
        <w:pStyle w:val="ListBullet"/>
      </w:pPr>
      <w:r>
        <w:t>Clinical outcomes: GOSE assessment (window, assessor training), neuropsych battery.</w:t>
      </w:r>
    </w:p>
    <w:p>
      <w:pPr>
        <w:pStyle w:val="ListBullet"/>
      </w:pPr>
      <w:r>
        <w:t>Statistical models: CCA (SDC ↔ FC), ridge regression, ordinal regression for GOSE.</w:t>
      </w:r>
    </w:p>
    <w:p>
      <w:pPr>
        <w:pStyle w:val="ListBullet"/>
      </w:pPr>
      <w:r>
        <w:t>Missing data handling.</w:t>
      </w:r>
    </w:p>
    <w:p>
      <w:r>
        <w:rPr>
          <w:b/>
        </w:rPr>
        <w:t>Results (~2000 words).</w:t>
      </w:r>
    </w:p>
    <w:p>
      <w:pPr>
        <w:pStyle w:val="ListBullet"/>
      </w:pPr>
      <w:r>
        <w:t>Cohort characteristics table.</w:t>
      </w:r>
    </w:p>
    <w:p>
      <w:pPr>
        <w:pStyle w:val="ListBullet"/>
      </w:pPr>
      <w:r>
        <w:t>Figure 1: group-average disconnectome in MNI space (face validity).</w:t>
      </w:r>
    </w:p>
    <w:p>
      <w:pPr>
        <w:pStyle w:val="ListBullet"/>
      </w:pPr>
      <w:r>
        <w:t>Figure 2: CCA — first component's SDC loadings + FC loadings + scatter of subject scores.</w:t>
      </w:r>
    </w:p>
    <w:p>
      <w:pPr>
        <w:pStyle w:val="ListBullet"/>
      </w:pPr>
      <w:r>
        <w:t>Figure 3: domain-specific network → cognitive-composite scatter plots (5 panels: attention, memory, executive, language, motor).</w:t>
      </w:r>
    </w:p>
    <w:p>
      <w:pPr>
        <w:pStyle w:val="ListBullet"/>
      </w:pPr>
      <w:r>
        <w:t>Figure 4: GOSE prediction — ROC curves for lesion-volume baseline vs SDC-augmented vs SDC+FC-augmented models.</w:t>
      </w:r>
    </w:p>
    <w:p>
      <w:pPr>
        <w:pStyle w:val="ListBullet"/>
      </w:pPr>
      <w:r>
        <w:t>Figure 5: representative-subject case series (3 subjects: mild, moderate, severe) — lesion + SDC + FC-abnormality + outcome.</w:t>
      </w:r>
    </w:p>
    <w:p>
      <w:pPr>
        <w:pStyle w:val="ListBullet"/>
      </w:pPr>
      <w:r>
        <w:t>Table 1: cohort demographics and clinical severity.</w:t>
      </w:r>
    </w:p>
    <w:p>
      <w:pPr>
        <w:pStyle w:val="ListBullet"/>
      </w:pPr>
      <w:r>
        <w:t>Table 2: incremental-validity model comparison (nested models, cross-validated AUC, permutation p).</w:t>
      </w:r>
    </w:p>
    <w:p>
      <w:pPr>
        <w:pStyle w:val="ListBullet"/>
      </w:pPr>
      <w:r>
        <w:t>Table 3: domain-network mapping (which network's SDC predicts which composite).</w:t>
      </w:r>
    </w:p>
    <w:p>
      <w:r>
        <w:rPr>
          <w:b/>
        </w:rPr>
        <w:t>Discussion (~1800 words).</w:t>
      </w:r>
    </w:p>
    <w:p>
      <w:pPr>
        <w:pStyle w:val="ListBullet"/>
      </w:pPr>
      <w:r>
        <w:t>Mechanism: SDC → FC → behavior generalizes from stroke to TBI.</w:t>
      </w:r>
    </w:p>
    <w:p>
      <w:pPr>
        <w:pStyle w:val="ListBullet"/>
      </w:pPr>
      <w:r>
        <w:t>Domain-specific network mapping strengthens biological interpretability.</w:t>
      </w:r>
    </w:p>
    <w:p>
      <w:pPr>
        <w:pStyle w:val="ListBullet"/>
      </w:pPr>
      <w:r>
        <w:t>Clinical implications: disconnection-based biomarker for prognosis; potential for targeted rehab.</w:t>
      </w:r>
    </w:p>
    <w:p>
      <w:pPr>
        <w:pStyle w:val="ListBullet"/>
      </w:pPr>
      <w:r>
        <w:t>Comparison to Griffis 2019: similarities and differences in stroke vs TBI (magnitude of effect, network specificity).</w:t>
      </w:r>
    </w:p>
    <w:p>
      <w:pPr>
        <w:pStyle w:val="ListBullet"/>
      </w:pPr>
      <w:r>
        <w:t>Limitations: single-cohort, single-site, N constrained, no independent replication, self-report symptom vs objective outcome.</w:t>
      </w:r>
    </w:p>
    <w:p>
      <w:pPr>
        <w:pStyle w:val="ListBullet"/>
      </w:pPr>
      <w:r>
        <w:t>Future directions: longitudinal recovery trajectories, intervention targets.</w:t>
      </w:r>
    </w:p>
    <w:p>
      <w:r>
        <w:rPr>
          <w:b/>
        </w:rPr>
        <w:t>Data and code availability.</w:t>
      </w:r>
    </w:p>
    <w:p>
      <w:r>
        <w:rPr>
          <w:b/>
        </w:rPr>
        <w:t>Supplement (~2000 words).</w:t>
      </w:r>
    </w:p>
    <w:p>
      <w:pPr>
        <w:pStyle w:val="ListBullet"/>
      </w:pPr>
      <w:r>
        <w:t>S1: rs-fMRI preprocessing details and motion QC.</w:t>
      </w:r>
    </w:p>
    <w:p>
      <w:pPr>
        <w:pStyle w:val="ListBullet"/>
      </w:pPr>
      <w:r>
        <w:t>S2: Neuropsych battery details, factor analysis, missing-data handling.</w:t>
      </w:r>
    </w:p>
    <w:p>
      <w:pPr>
        <w:pStyle w:val="ListBullet"/>
      </w:pPr>
      <w:r>
        <w:t>S3: Alternative parcellation / atlas robustness.</w:t>
      </w:r>
    </w:p>
    <w:p>
      <w:pPr>
        <w:pStyle w:val="ListBullet"/>
      </w:pPr>
      <w:r>
        <w:t>S4: Alternative fixed arm robustness (</w:t>
      </w:r>
      <w:r>
        <w:rPr>
          <w:rFonts w:ascii="Consolas" w:hAnsi="Consolas"/>
          <w:sz w:val="20"/>
        </w:rPr>
        <w:t>vbt-lesion</w:t>
      </w:r>
      <w:r>
        <w:t>).</w:t>
      </w:r>
    </w:p>
    <w:p>
      <w:pPr>
        <w:pStyle w:val="ListBullet"/>
      </w:pPr>
      <w:r>
        <w:t>S5: SDC method-choice sensitivity (patient-specific vs LQT — this is where the "methods-lead" would live if we split it out; if kept as biology paper, this is a brief robustness check).</w:t>
      </w:r>
    </w:p>
    <w:p>
      <w:pPr>
        <w:pStyle w:val="ListBullet"/>
      </w:pPr>
      <w:r>
        <w:t>S6: Subgroup analyses by injury mechanism, lesion location.</w:t>
      </w:r>
    </w:p>
    <w:p>
      <w:r>
        <w:rPr>
          <w:b/>
        </w:rPr>
        <w:t>Figures: 5 main + 5 supplement.</w:t>
      </w:r>
      <w:r>
        <w:t xml:space="preserve"> </w:t>
      </w:r>
      <w:r>
        <w:rPr>
          <w:b/>
        </w:rPr>
        <w:t>Tables: 3 main + 2 supplement.</w:t>
      </w:r>
    </w:p>
    <w:p>
      <w:pPr>
        <w:pStyle w:val="Heading3"/>
      </w:pPr>
      <w:r>
        <w:t>Effort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Effort</w:t>
            </w:r>
          </w:p>
        </w:tc>
      </w:tr>
      <w:tr>
        <w:tc>
          <w:tcPr>
            <w:tcW w:type="dxa" w:w="4824"/>
          </w:tcPr>
          <w:p>
            <w:r/>
            <w:r>
              <w:t>Complete cohort processing (fixed arm)</w:t>
            </w:r>
          </w:p>
        </w:tc>
        <w:tc>
          <w:tcPr>
            <w:tcW w:type="dxa" w:w="4824"/>
          </w:tcPr>
          <w:p>
            <w:r/>
            <w:r>
              <w:t>2 weeks compute + 1 week QC</w:t>
            </w:r>
          </w:p>
        </w:tc>
      </w:tr>
      <w:tr>
        <w:tc>
          <w:tcPr>
            <w:tcW w:type="dxa" w:w="4824"/>
          </w:tcPr>
          <w:p>
            <w:r/>
            <w:r>
              <w:t>fMRI preprocessing arm (fMRIPrep + XCP-D)</w:t>
            </w:r>
          </w:p>
        </w:tc>
        <w:tc>
          <w:tcPr>
            <w:tcW w:type="dxa" w:w="4824"/>
          </w:tcPr>
          <w:p>
            <w:r/>
            <w:r>
              <w:t>3 weeks build + 2 weeks compute</w:t>
            </w:r>
          </w:p>
        </w:tc>
      </w:tr>
      <w:tr>
        <w:tc>
          <w:tcPr>
            <w:tcW w:type="dxa" w:w="4824"/>
          </w:tcPr>
          <w:p>
            <w:r/>
            <w:r>
              <w:t>Neuropsych factor analysis / composite construction</w:t>
            </w:r>
          </w:p>
        </w:tc>
        <w:tc>
          <w:tcPr>
            <w:tcW w:type="dxa" w:w="4824"/>
          </w:tcPr>
          <w:p>
            <w:r/>
            <w:r>
              <w:t>2 weeks (assumes data available)</w:t>
            </w:r>
          </w:p>
        </w:tc>
      </w:tr>
      <w:tr>
        <w:tc>
          <w:tcPr>
            <w:tcW w:type="dxa" w:w="4824"/>
          </w:tcPr>
          <w:p>
            <w:r/>
            <w:r>
              <w:t>CCA + regression modeling</w:t>
            </w:r>
          </w:p>
        </w:tc>
        <w:tc>
          <w:tcPr>
            <w:tcW w:type="dxa" w:w="4824"/>
          </w:tcPr>
          <w:p>
            <w:r/>
            <w:r>
              <w:t>3 weeks</w:t>
            </w:r>
          </w:p>
        </w:tc>
      </w:tr>
      <w:tr>
        <w:tc>
          <w:tcPr>
            <w:tcW w:type="dxa" w:w="4824"/>
          </w:tcPr>
          <w:p>
            <w:r/>
            <w:r>
              <w:t>Manuscript drafting</w:t>
            </w:r>
          </w:p>
        </w:tc>
        <w:tc>
          <w:tcPr>
            <w:tcW w:type="dxa" w:w="4824"/>
          </w:tcPr>
          <w:p>
            <w:r/>
            <w:r>
              <w:t>4 weeks</w:t>
            </w:r>
          </w:p>
        </w:tc>
      </w:tr>
      <w:tr>
        <w:tc>
          <w:tcPr>
            <w:tcW w:type="dxa" w:w="4824"/>
          </w:tcPr>
          <w:p>
            <w:r/>
            <w:r>
              <w:t>Clinical reviewer / neurologist coauthor rounds</w:t>
            </w:r>
          </w:p>
        </w:tc>
        <w:tc>
          <w:tcPr>
            <w:tcW w:type="dxa" w:w="4824"/>
          </w:tcPr>
          <w:p>
            <w:r/>
            <w:r>
              <w:t>2 weeks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 (calendar time with overlap)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~4 months</w:t>
            </w:r>
          </w:p>
        </w:tc>
      </w:tr>
    </w:tbl>
    <w:p/>
    <w:p>
      <w:pPr>
        <w:pStyle w:val="Heading3"/>
      </w:pPr>
      <w:r>
        <w:t>Risk / failure modes</w:t>
      </w:r>
    </w:p>
    <w:p>
      <w:pPr>
        <w:pStyle w:val="ListBullet"/>
      </w:pPr>
      <w:r>
        <w:rPr>
          <w:b/>
        </w:rPr>
        <w:t>SC → FC coupling is noisy or weak</w:t>
      </w:r>
      <w:r>
        <w:t xml:space="preserve"> — CCA doesn't yield a coherent first component → biology story collapses; fall back to HBM or methods-lead.</w:t>
      </w:r>
    </w:p>
    <w:p>
      <w:pPr>
        <w:pStyle w:val="ListBullet"/>
      </w:pPr>
      <w:r>
        <w:rPr>
          <w:b/>
        </w:rPr>
        <w:t>Neuropsych battery is thin</w:t>
      </w:r>
      <w:r>
        <w:t xml:space="preserve"> — reviewers demand multi-domain factor scores; if we only have GOSE + RPQ the paper's domain-specificity story shrinks and Brain becomes harder.</w:t>
      </w:r>
    </w:p>
    <w:p>
      <w:pPr>
        <w:pStyle w:val="ListBullet"/>
      </w:pPr>
      <w:r>
        <w:rPr>
          <w:b/>
        </w:rPr>
        <w:t>Single-site / single-cohort</w:t>
      </w:r>
      <w:r>
        <w:t xml:space="preserve"> — Brain reviewers may ask for external replication; likely a resubmission gate.</w:t>
      </w:r>
    </w:p>
    <w:p>
      <w:pPr>
        <w:pStyle w:val="ListBullet"/>
      </w:pPr>
      <w:r>
        <w:rPr>
          <w:b/>
        </w:rPr>
        <w:t>GOSE prediction incremental effect is small</w:t>
      </w:r>
      <w:r>
        <w:t xml:space="preserve"> — if ΔAUC is &lt; 0.05 above lesion volume, incremental-validity claim is unpersuasive.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Human Brain Mapping (HBM) — default landing</w:t>
      </w:r>
    </w:p>
    <w:p>
      <w:pPr>
        <w:pStyle w:val="Heading3"/>
      </w:pPr>
      <w:r>
        <w:t>Editorial identity</w:t>
      </w:r>
    </w:p>
    <w:p>
      <w:pPr>
        <w:pStyle w:val="ListBullet"/>
      </w:pPr>
      <w:r>
        <w:rPr>
          <w:b/>
        </w:rPr>
        <w:t>Reader base:</w:t>
      </w:r>
      <w:r>
        <w:t xml:space="preserve"> broad — imaging labs, clinical, translational, methods researchers. LeAPP (Bey et al. 2024) was here, so our methodological family is welcome.</w:t>
      </w:r>
    </w:p>
    <w:p>
      <w:pPr>
        <w:pStyle w:val="ListBullet"/>
      </w:pPr>
      <w:r>
        <w:rPr>
          <w:b/>
        </w:rPr>
        <w:t>Reviewers reward:</w:t>
      </w:r>
      <w:r>
        <w:t xml:space="preserve"> solid neuroscience with imaging methods; connectivity/network analyses; N = 40–100 with honest interpretation; well-executed studies at moderate scale.</w:t>
      </w:r>
    </w:p>
    <w:p>
      <w:pPr>
        <w:pStyle w:val="ListBullet"/>
      </w:pPr>
      <w:r>
        <w:rPr>
          <w:b/>
        </w:rPr>
        <w:t>Reviewers reject on:</w:t>
      </w:r>
      <w:r>
        <w:t xml:space="preserve"> incoherent whole; unclear contribution; missing basic reproducibility; unjustified methodological choices.</w:t>
      </w:r>
    </w:p>
    <w:p>
      <w:pPr>
        <w:pStyle w:val="ListBullet"/>
      </w:pPr>
      <w:r>
        <w:rPr>
          <w:b/>
        </w:rPr>
        <w:t>Our fit:</w:t>
      </w:r>
      <w:r>
        <w:t xml:space="preserve"> either the methods-lead or biology-lead framing works at HBM under lower bar. If neither the head-to-head divergence figure nor the SC→FC coupling is exceptional, HBM is the honest home.</w:t>
      </w:r>
    </w:p>
    <w:p>
      <w:pPr>
        <w:pStyle w:val="Heading3"/>
      </w:pPr>
      <w:r>
        <w:t>Framing</w:t>
      </w:r>
    </w:p>
    <w:p>
      <w:r>
        <w:rPr>
          <w:b/>
        </w:rPr>
        <w:t>Working title (methods-lead flavor):</w:t>
      </w:r>
      <w:r>
        <w:t xml:space="preserve"> </w:t>
      </w:r>
      <w:r>
        <w:rPr>
          <w:i/>
        </w:rPr>
        <w:t>Lesion-aware structural disconnectomes in traumatic brain injury: methods and clinical correlates.</w:t>
      </w:r>
      <w:r>
        <w:t xml:space="preserve"> </w:t>
      </w:r>
      <w:r>
        <w:rPr>
          <w:b/>
        </w:rPr>
        <w:t>Working title (biology-lead flavor):</w:t>
      </w:r>
      <w:r>
        <w:t xml:space="preserve"> </w:t>
      </w:r>
      <w:r>
        <w:rPr>
          <w:i/>
        </w:rPr>
        <w:t>Structural disconnection and outcome after traumatic brain injury: a lesion-aware disconnectome study.</w:t>
      </w:r>
    </w:p>
    <w:p>
      <w:r>
        <w:t>Both frames use the same data and analyses; HBM welcomes either as long as the story is coherent and well-defended.</w:t>
      </w:r>
    </w:p>
    <w:p>
      <w:pPr>
        <w:pStyle w:val="Heading3"/>
      </w:pPr>
      <w:r>
        <w:t>Analysis required</w:t>
      </w:r>
    </w:p>
    <w:p>
      <w:r>
        <w:t>Same as NeuroImage or Brain versions, with these relaxations acceptable at HBM:</w:t>
      </w:r>
    </w:p>
    <w:p>
      <w:pPr>
        <w:pStyle w:val="ListBullet"/>
      </w:pPr>
      <w:r>
        <w:t>N &lt; 50 acceptable if biology is coherent</w:t>
      </w:r>
    </w:p>
    <w:p>
      <w:pPr>
        <w:pStyle w:val="ListBullet"/>
      </w:pPr>
      <w:r>
        <w:t>Single-atlas SDC analysis acceptable (no LQT/BCB head-to-head required if we frame it as biology-lead)</w:t>
      </w:r>
    </w:p>
    <w:p>
      <w:pPr>
        <w:pStyle w:val="ListBullet"/>
      </w:pPr>
      <w:r>
        <w:t>Single-outcome (GOSE) acceptable if we frame the paper honestly as prognostic rather than domain-specific</w:t>
      </w:r>
    </w:p>
    <w:p>
      <w:pPr>
        <w:pStyle w:val="ListBullet"/>
      </w:pPr>
      <w:r>
        <w:t>Cohort-only (no external replication) is fine</w:t>
      </w:r>
    </w:p>
    <w:p>
      <w:pPr>
        <w:pStyle w:val="Heading3"/>
      </w:pPr>
      <w:r>
        <w:t>Manuscript breakdown</w:t>
      </w:r>
    </w:p>
    <w:p>
      <w:r>
        <w:t>Follows either NeuroImage or Brain outline depending on which frame we lead with, but:</w:t>
      </w:r>
    </w:p>
    <w:p>
      <w:pPr>
        <w:pStyle w:val="ListBullet"/>
      </w:pPr>
      <w:r>
        <w:rPr>
          <w:b/>
        </w:rPr>
        <w:t>Introduction</w:t>
      </w:r>
      <w:r>
        <w:t xml:space="preserve"> shorter (~800 words) — HBM permits less exhaustive positioning</w:t>
      </w:r>
    </w:p>
    <w:p>
      <w:pPr>
        <w:pStyle w:val="ListBullet"/>
      </w:pPr>
      <w:r>
        <w:rPr>
          <w:b/>
        </w:rPr>
        <w:t>Methods</w:t>
      </w:r>
      <w:r>
        <w:t xml:space="preserve"> the same rigor</w:t>
      </w:r>
    </w:p>
    <w:p>
      <w:pPr>
        <w:pStyle w:val="ListBullet"/>
      </w:pPr>
      <w:r>
        <w:rPr>
          <w:b/>
        </w:rPr>
        <w:t>Results</w:t>
      </w:r>
      <w:r>
        <w:t xml:space="preserve"> — 4 main figures instead of 5, 2 main tables instead of 3</w:t>
      </w:r>
    </w:p>
    <w:p>
      <w:pPr>
        <w:pStyle w:val="ListBullet"/>
      </w:pPr>
      <w:r>
        <w:rPr>
          <w:b/>
        </w:rPr>
        <w:t>Discussion</w:t>
      </w:r>
      <w:r>
        <w:t xml:space="preserve"> shorter (~1200 words), fewer speculation paragraphs</w:t>
      </w:r>
    </w:p>
    <w:p>
      <w:pPr>
        <w:pStyle w:val="ListBullet"/>
      </w:pPr>
      <w:r>
        <w:rPr>
          <w:b/>
        </w:rPr>
        <w:t>Supplement</w:t>
      </w:r>
      <w:r>
        <w:t xml:space="preserve"> less exhaustive</w:t>
      </w:r>
    </w:p>
    <w:p>
      <w:pPr>
        <w:pStyle w:val="Heading3"/>
      </w:pPr>
      <w:r>
        <w:t>Effort estimate</w:t>
      </w:r>
    </w:p>
    <w:p>
      <w:r>
        <w:t>Approximately 80% of the NeuroImage or Brain effort — the analytic backbone is the same, but writing and supplement effort is lighter.</w:t>
      </w:r>
    </w:p>
    <w:p>
      <w:pPr>
        <w:pStyle w:val="Heading3"/>
      </w:pPr>
      <w:r>
        <w:t>Risk / failure modes</w:t>
      </w:r>
    </w:p>
    <w:p>
      <w:pPr>
        <w:pStyle w:val="ListBullet"/>
      </w:pPr>
      <w:r>
        <w:rPr>
          <w:b/>
        </w:rPr>
        <w:t>Truly weak results everywhere</w:t>
      </w:r>
      <w:r>
        <w:t xml:space="preserve"> — even HBM will reject an incoherent submission. HBM's rejection risk is not "your ceiling is too low" but "the story doesn't hang together."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NeuroImage: Clinical — solid backup</w:t>
      </w:r>
    </w:p>
    <w:p>
      <w:pPr>
        <w:pStyle w:val="Heading3"/>
      </w:pPr>
      <w:r>
        <w:t>Editorial identity</w:t>
      </w:r>
    </w:p>
    <w:p>
      <w:pPr>
        <w:pStyle w:val="ListBullet"/>
      </w:pPr>
      <w:r>
        <w:rPr>
          <w:b/>
        </w:rPr>
        <w:t>Reader base:</w:t>
      </w:r>
      <w:r>
        <w:t xml:space="preserve"> clinical neuroimaging researchers, translational imaging labs.</w:t>
      </w:r>
    </w:p>
    <w:p>
      <w:pPr>
        <w:pStyle w:val="ListBullet"/>
      </w:pPr>
      <w:r>
        <w:rPr>
          <w:b/>
        </w:rPr>
        <w:t>Reviewers reward:</w:t>
      </w:r>
      <w:r>
        <w:t xml:space="preserve"> clinically-relevant imaging findings with methodological transparency, TBI-focused work, prognostic biomarkers.</w:t>
      </w:r>
    </w:p>
    <w:p>
      <w:pPr>
        <w:pStyle w:val="ListBullet"/>
      </w:pPr>
      <w:r>
        <w:rPr>
          <w:b/>
        </w:rPr>
        <w:t>Reviewers reject on:</w:t>
      </w:r>
      <w:r>
        <w:t xml:space="preserve"> methodological weaknesses, unclear clinical relevance, non-clinical framing.</w:t>
      </w:r>
    </w:p>
    <w:p>
      <w:pPr>
        <w:pStyle w:val="ListBullet"/>
      </w:pPr>
      <w:r>
        <w:rPr>
          <w:b/>
        </w:rPr>
        <w:t>Our fit:</w:t>
      </w:r>
      <w:r>
        <w:t xml:space="preserve"> natural home for a Paper 2 that emphasizes clinical/prognostic relevance without needing the full Brain-tier biological mechanism story.</w:t>
      </w:r>
    </w:p>
    <w:p>
      <w:pPr>
        <w:pStyle w:val="Heading3"/>
      </w:pPr>
      <w:r>
        <w:t>Framing</w:t>
      </w:r>
    </w:p>
    <w:p>
      <w:r>
        <w:rPr>
          <w:b/>
        </w:rPr>
        <w:t>Working title:</w:t>
      </w:r>
      <w:r>
        <w:t xml:space="preserve"> </w:t>
      </w:r>
      <w:r>
        <w:rPr>
          <w:i/>
        </w:rPr>
        <w:t>Lesion-aware structural disconnectomes as a prognostic biomarker in traumatic brain injury.</w:t>
      </w:r>
    </w:p>
    <w:p>
      <w:r>
        <w:t>Framing is prognostic-clinical: does SDC predict outcome? Do specific disconnection patterns map to specific deficits? Less demand on mechanism than Brain.</w:t>
      </w:r>
    </w:p>
    <w:p>
      <w:pPr>
        <w:pStyle w:val="Heading3"/>
      </w:pPr>
      <w:r>
        <w:t>Analysis required</w:t>
      </w:r>
    </w:p>
    <w:p>
      <w:pPr>
        <w:pStyle w:val="ListBullet"/>
      </w:pPr>
      <w:r>
        <w:t>Cohort processing (fixed arm)</w:t>
      </w:r>
    </w:p>
    <w:p>
      <w:pPr>
        <w:pStyle w:val="ListBullet"/>
      </w:pPr>
      <w:r>
        <w:t>GOSE prediction with SDC + lesion volume baseline</w:t>
      </w:r>
    </w:p>
    <w:p>
      <w:pPr>
        <w:pStyle w:val="ListBullet"/>
      </w:pPr>
      <w:r>
        <w:t>Optional: domain-specific mapping if neuropsych available</w:t>
      </w:r>
    </w:p>
    <w:p>
      <w:pPr>
        <w:pStyle w:val="ListBullet"/>
      </w:pPr>
      <w:r>
        <w:t>Simpler statistical framework acceptable (logistic regression + AUC)</w:t>
      </w:r>
    </w:p>
    <w:p>
      <w:pPr>
        <w:pStyle w:val="Heading3"/>
      </w:pPr>
      <w:r>
        <w:t>Manuscript breakdown</w:t>
      </w:r>
    </w:p>
    <w:p>
      <w:pPr>
        <w:pStyle w:val="ListBullet"/>
      </w:pPr>
      <w:r>
        <w:t>Shorter than Brain/NI (typical NI:Clinical papers are ~4000 words main text)</w:t>
      </w:r>
    </w:p>
    <w:p>
      <w:pPr>
        <w:pStyle w:val="ListBullet"/>
      </w:pPr>
      <w:r>
        <w:t>4 main figures, 2 tables</w:t>
      </w:r>
    </w:p>
    <w:p>
      <w:pPr>
        <w:pStyle w:val="ListBullet"/>
      </w:pPr>
      <w:r>
        <w:t>Focused supplement</w:t>
      </w:r>
    </w:p>
    <w:p>
      <w:pPr>
        <w:pStyle w:val="Heading3"/>
      </w:pPr>
      <w:r>
        <w:t>Effort estimate</w:t>
      </w:r>
    </w:p>
    <w:p>
      <w:r>
        <w:t>Roughly 70% of Brain effort.</w:t>
      </w:r>
    </w:p>
    <w:p>
      <w:pPr>
        <w:pStyle w:val="Heading3"/>
      </w:pPr>
      <w:r>
        <w:t>Risk / failure modes</w:t>
      </w:r>
    </w:p>
    <w:p>
      <w:pPr>
        <w:pStyle w:val="ListBullet"/>
      </w:pPr>
      <w:r>
        <w:rPr>
          <w:b/>
        </w:rPr>
        <w:t>Unclear clinical relevance</w:t>
      </w:r>
      <w:r>
        <w:t xml:space="preserve"> — if the outcome prediction improvement is small in absolute terms, reviewers may question clinical utility.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Nature Communications — stretch, conceivable</w:t>
      </w:r>
    </w:p>
    <w:p>
      <w:pPr>
        <w:pStyle w:val="Heading3"/>
      </w:pPr>
      <w:r>
        <w:t>Editorial identity</w:t>
      </w:r>
    </w:p>
    <w:p>
      <w:pPr>
        <w:pStyle w:val="ListBullet"/>
      </w:pPr>
      <w:r>
        <w:rPr>
          <w:b/>
        </w:rPr>
        <w:t>Reader base:</w:t>
      </w:r>
      <w:r>
        <w:t xml:space="preserve"> broad multidisciplinary — neuroscientists, imaging, clinical, computational biology.</w:t>
      </w:r>
    </w:p>
    <w:p>
      <w:pPr>
        <w:pStyle w:val="ListBullet"/>
      </w:pPr>
      <w:r>
        <w:rPr>
          <w:b/>
        </w:rPr>
        <w:t>Reviewers reward:</w:t>
      </w:r>
      <w:r>
        <w:t xml:space="preserve"> paradigm-advancing findings, methodological novelty PLUS strong biology, cross-cohort or cross-domain validation, broad reach.</w:t>
      </w:r>
    </w:p>
    <w:p>
      <w:pPr>
        <w:pStyle w:val="ListBullet"/>
      </w:pPr>
      <w:r>
        <w:rPr>
          <w:b/>
        </w:rPr>
        <w:t>Reviewers reject on:</w:t>
      </w:r>
      <w:r>
        <w:t xml:space="preserve"> single-cohort findings, narrow methodological contributions, results that fit better at a specialty venue.</w:t>
      </w:r>
    </w:p>
    <w:p>
      <w:pPr>
        <w:pStyle w:val="ListBullet"/>
      </w:pPr>
      <w:r>
        <w:rPr>
          <w:b/>
        </w:rPr>
        <w:t>Our fit:</w:t>
      </w:r>
      <w:r>
        <w:t xml:space="preserve"> </w:t>
      </w:r>
      <w:r>
        <w:rPr>
          <w:i/>
        </w:rPr>
        <w:t>only</w:t>
      </w:r>
      <w:r>
        <w:t xml:space="preserve"> if we can deliver both the methods head-to-head AND the full biology chain AND some form of external validation.</w:t>
      </w:r>
    </w:p>
    <w:p>
      <w:pPr>
        <w:pStyle w:val="Heading3"/>
      </w:pPr>
      <w:r>
        <w:t>Framing</w:t>
      </w:r>
    </w:p>
    <w:p>
      <w:r>
        <w:rPr>
          <w:b/>
        </w:rPr>
        <w:t>Working title:</w:t>
      </w:r>
      <w:r>
        <w:t xml:space="preserve"> </w:t>
      </w:r>
      <w:r>
        <w:rPr>
          <w:i/>
        </w:rPr>
        <w:t>Patient-specific lesion-aware disconnectomes reveal mechanism and prognosis of network dysfunction after traumatic brain injury.</w:t>
      </w:r>
    </w:p>
    <w:p>
      <w:r>
        <w:t>Combined framing: methods + biology + clinical prognostic value + (ideally) replication.</w:t>
      </w:r>
    </w:p>
    <w:p>
      <w:pPr>
        <w:pStyle w:val="Heading3"/>
      </w:pPr>
      <w:r>
        <w:t>Analysis required (in addition to NeuroImage + Brain analyses)</w:t>
      </w:r>
    </w:p>
    <w:p>
      <w:pPr>
        <w:pStyle w:val="ListBullet"/>
      </w:pPr>
      <w:r>
        <w:t xml:space="preserve">External replication cohort — a second TBI cohort with lesion masks + DWI + rs-fMRI + outcomes. </w:t>
      </w:r>
      <w:r>
        <w:rPr>
          <w:b/>
        </w:rPr>
        <w:t>We don't have this.</w:t>
      </w:r>
      <w:r>
        <w:t xml:space="preserve"> Would require establishing a collaboration.</w:t>
      </w:r>
    </w:p>
    <w:p>
      <w:pPr>
        <w:pStyle w:val="ListBullet"/>
      </w:pPr>
      <w:r>
        <w:t>OR: LQT/BCB benchmarking on synthetic lesions in healthy controls (CIDUR N=26) as a form of methodological replication.</w:t>
      </w:r>
    </w:p>
    <w:p>
      <w:pPr>
        <w:pStyle w:val="ListBullet"/>
      </w:pPr>
      <w:r>
        <w:t>OR: cross-domain validation showing our patient-specific SDC generalizes to another disease population (stroke) where Griffis is the gold standard.</w:t>
      </w:r>
    </w:p>
    <w:p>
      <w:pPr>
        <w:pStyle w:val="ListBullet"/>
      </w:pPr>
      <w:r>
        <w:t>Larger cohort (N ≥ 80 complete cases) — depends on TrackTBI cohort availability.</w:t>
      </w:r>
    </w:p>
    <w:p>
      <w:pPr>
        <w:pStyle w:val="Heading3"/>
      </w:pPr>
      <w:r>
        <w:t>Manuscript breakdown</w:t>
      </w:r>
    </w:p>
    <w:p>
      <w:pPr>
        <w:pStyle w:val="ListBullet"/>
      </w:pPr>
      <w:r>
        <w:t>Fusion of NeuroImage and Brain outlines</w:t>
      </w:r>
    </w:p>
    <w:p>
      <w:pPr>
        <w:pStyle w:val="ListBullet"/>
      </w:pPr>
      <w:r>
        <w:t>6 main figures, 3 tables</w:t>
      </w:r>
    </w:p>
    <w:p>
      <w:pPr>
        <w:pStyle w:val="ListBullet"/>
      </w:pPr>
      <w:r>
        <w:t>Substantial supplement</w:t>
      </w:r>
    </w:p>
    <w:p>
      <w:pPr>
        <w:pStyle w:val="Heading3"/>
      </w:pPr>
      <w:r>
        <w:t>Effort estimate</w:t>
      </w:r>
    </w:p>
    <w:p>
      <w:r>
        <w:t>Roughly 2× NeuroImage or Brain effort due to replication cohort establishment.</w:t>
      </w:r>
    </w:p>
    <w:p>
      <w:pPr>
        <w:pStyle w:val="Heading3"/>
      </w:pPr>
      <w:r>
        <w:t>Risk / failure modes</w:t>
      </w:r>
    </w:p>
    <w:p>
      <w:pPr>
        <w:pStyle w:val="ListBullet"/>
      </w:pPr>
      <w:r>
        <w:rPr>
          <w:b/>
        </w:rPr>
        <w:t>Cannot get replication cohort</w:t>
      </w:r>
      <w:r>
        <w:t xml:space="preserve"> — reviewers will likely reject or bounce to specialty venue.</w:t>
      </w:r>
    </w:p>
    <w:p>
      <w:pPr>
        <w:pStyle w:val="ListBullet"/>
      </w:pPr>
      <w:r>
        <w:rPr>
          <w:b/>
        </w:rPr>
        <w:t>Result complexity outstrips a Nature Comm-length manuscript</w:t>
      </w:r>
      <w:r>
        <w:t xml:space="preserve"> — trying to fit both methods and biology into 4000 words is hard.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Nature Human Behaviour — stretch</w:t>
      </w:r>
    </w:p>
    <w:p>
      <w:pPr>
        <w:pStyle w:val="Heading3"/>
      </w:pPr>
      <w:r>
        <w:t>Editorial identity</w:t>
      </w:r>
    </w:p>
    <w:p>
      <w:pPr>
        <w:pStyle w:val="ListBullet"/>
      </w:pPr>
      <w:r>
        <w:rPr>
          <w:b/>
        </w:rPr>
        <w:t>Reader base:</w:t>
      </w:r>
      <w:r>
        <w:t xml:space="preserve"> cognitive neuroscientists, behavioral scientists.</w:t>
      </w:r>
    </w:p>
    <w:p>
      <w:pPr>
        <w:pStyle w:val="ListBullet"/>
      </w:pPr>
      <w:r>
        <w:rPr>
          <w:b/>
        </w:rPr>
        <w:t>Reviewers reward:</w:t>
      </w:r>
      <w:r>
        <w:t xml:space="preserve"> behavior-forward findings, domain-specific network-behavior mapping, novel behavioral biomarkers.</w:t>
      </w:r>
    </w:p>
    <w:p>
      <w:pPr>
        <w:pStyle w:val="ListBullet"/>
      </w:pPr>
      <w:r>
        <w:rPr>
          <w:b/>
        </w:rPr>
        <w:t>Reviewers reject on:</w:t>
      </w:r>
      <w:r>
        <w:t xml:space="preserve"> methods-forward papers, weak behavioral characterization.</w:t>
      </w:r>
    </w:p>
    <w:p>
      <w:pPr>
        <w:pStyle w:val="ListBullet"/>
      </w:pPr>
      <w:r>
        <w:rPr>
          <w:b/>
        </w:rPr>
        <w:t>Our fit:</w:t>
      </w:r>
      <w:r>
        <w:t xml:space="preserve"> only if TRACK-TBI neuropsych battery is comprehensive (multiple domains) AND network-domain mapping is exceptionally clean.</w:t>
      </w:r>
    </w:p>
    <w:p>
      <w:pPr>
        <w:pStyle w:val="Heading3"/>
      </w:pPr>
      <w:r>
        <w:t>Framing</w:t>
      </w:r>
    </w:p>
    <w:p>
      <w:r>
        <w:rPr>
          <w:b/>
        </w:rPr>
        <w:t>Working title:</w:t>
      </w:r>
      <w:r>
        <w:t xml:space="preserve"> </w:t>
      </w:r>
      <w:r>
        <w:rPr>
          <w:i/>
        </w:rPr>
        <w:t>Domain-specific network disconnection predicts cognitive recovery after traumatic brain injury.</w:t>
      </w:r>
    </w:p>
    <w:p>
      <w:pPr>
        <w:pStyle w:val="Heading3"/>
      </w:pPr>
      <w:r>
        <w:t>Analysis required</w:t>
      </w:r>
    </w:p>
    <w:p>
      <w:pPr>
        <w:pStyle w:val="ListBullet"/>
      </w:pPr>
      <w:r>
        <w:t>Multi-domain neuropsych factor scores (Corbetta-style battery, requires TRACK-TBI export to be rich)</w:t>
      </w:r>
    </w:p>
    <w:p>
      <w:pPr>
        <w:pStyle w:val="ListBullet"/>
      </w:pPr>
      <w:r>
        <w:t>Network-native parcellation (Schaefer / Yeo mapped onto neuropsych domains)</w:t>
      </w:r>
    </w:p>
    <w:p>
      <w:pPr>
        <w:pStyle w:val="ListBullet"/>
      </w:pPr>
      <w:r>
        <w:t>Clean domain-network mapping with hold-out validation</w:t>
      </w:r>
    </w:p>
    <w:p>
      <w:pPr>
        <w:pStyle w:val="ListBullet"/>
      </w:pPr>
      <w:r>
        <w:t>Domain-specific incremental validity</w:t>
      </w:r>
    </w:p>
    <w:p>
      <w:pPr>
        <w:pStyle w:val="Heading3"/>
      </w:pPr>
      <w:r>
        <w:t>Manuscript breakdown</w:t>
      </w:r>
    </w:p>
    <w:p>
      <w:r>
        <w:t>Similar to Brain but with behavior-heavy framing and less imaging methodology.</w:t>
      </w:r>
    </w:p>
    <w:p>
      <w:pPr>
        <w:pStyle w:val="Heading3"/>
      </w:pPr>
      <w:r>
        <w:t>Effort estimate</w:t>
      </w:r>
    </w:p>
    <w:p>
      <w:r>
        <w:t>Similar to Brain if neuropsych battery is available; substantially more if we need to construct composite scores.</w:t>
      </w:r>
    </w:p>
    <w:p>
      <w:pPr>
        <w:pStyle w:val="Heading3"/>
      </w:pPr>
      <w:r>
        <w:t>Risk / failure modes</w:t>
      </w:r>
    </w:p>
    <w:p>
      <w:pPr>
        <w:pStyle w:val="ListBullet"/>
      </w:pPr>
      <w:r>
        <w:rPr>
          <w:b/>
        </w:rPr>
        <w:t>Neuropsych battery not sufficiently multi-domain</w:t>
      </w:r>
      <w:r>
        <w:t xml:space="preserve"> — story collapses.</w:t>
      </w:r>
    </w:p>
    <w:p>
      <w:pPr>
        <w:pStyle w:val="ListBullet"/>
      </w:pPr>
      <w:r>
        <w:rPr>
          <w:b/>
        </w:rPr>
        <w:t>Domain-specific mapping is noisy</w:t>
      </w:r>
      <w:r>
        <w:t xml:space="preserve"> — the paper's central claim fails.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Medical Image Analysis — fit-dependent</w:t>
      </w:r>
    </w:p>
    <w:p>
      <w:pPr>
        <w:pStyle w:val="Heading3"/>
      </w:pPr>
      <w:r>
        <w:t>Editorial identity</w:t>
      </w:r>
    </w:p>
    <w:p>
      <w:pPr>
        <w:pStyle w:val="ListBullet"/>
      </w:pPr>
      <w:r>
        <w:rPr>
          <w:b/>
        </w:rPr>
        <w:t>Reader base:</w:t>
      </w:r>
      <w:r>
        <w:t xml:space="preserve"> medical imaging engineers, computational imaging researchers.</w:t>
      </w:r>
    </w:p>
    <w:p>
      <w:pPr>
        <w:pStyle w:val="ListBullet"/>
      </w:pPr>
      <w:r>
        <w:rPr>
          <w:b/>
        </w:rPr>
        <w:t>Reviewers reward:</w:t>
      </w:r>
      <w:r>
        <w:t xml:space="preserve"> engineering/pipeline innovation, quantitative methods contributions, benchmarking.</w:t>
      </w:r>
    </w:p>
    <w:p>
      <w:pPr>
        <w:pStyle w:val="ListBullet"/>
      </w:pPr>
      <w:r>
        <w:rPr>
          <w:b/>
        </w:rPr>
        <w:t>Reviewers reject on:</w:t>
      </w:r>
      <w:r>
        <w:t xml:space="preserve"> clinical-narrative framing, weak engineering novelty.</w:t>
      </w:r>
    </w:p>
    <w:p>
      <w:pPr>
        <w:pStyle w:val="ListBullet"/>
      </w:pPr>
      <w:r>
        <w:rPr>
          <w:b/>
        </w:rPr>
        <w:t>Our fit:</w:t>
      </w:r>
      <w:r>
        <w:t xml:space="preserve"> would require completely rewriting away from the biology story, leading instead with the lesion-aware ACT pipeline as an engineering contribution.</w:t>
      </w:r>
    </w:p>
    <w:p>
      <w:pPr>
        <w:pStyle w:val="Heading3"/>
      </w:pPr>
      <w:r>
        <w:t>Framing</w:t>
      </w:r>
    </w:p>
    <w:p>
      <w:r>
        <w:rPr>
          <w:b/>
        </w:rPr>
        <w:t>Working title:</w:t>
      </w:r>
      <w:r>
        <w:t xml:space="preserve"> </w:t>
      </w:r>
      <w:r>
        <w:rPr>
          <w:i/>
        </w:rPr>
        <w:t>A reproducible pipeline for patient-specific lesion-aware structural connectomics in focal brain lesions.</w:t>
      </w:r>
    </w:p>
    <w:p>
      <w:pPr>
        <w:pStyle w:val="Heading3"/>
      </w:pPr>
      <w:r>
        <w:t>Analysis required</w:t>
      </w:r>
    </w:p>
    <w:p>
      <w:pPr>
        <w:pStyle w:val="ListBullet"/>
      </w:pPr>
      <w:r>
        <w:t>Pipeline benchmarking (runtime, reproducibility, failure modes, resource requirements)</w:t>
      </w:r>
    </w:p>
    <w:p>
      <w:pPr>
        <w:pStyle w:val="ListBullet"/>
      </w:pPr>
      <w:r>
        <w:t>Methods head-to-head vs LQT/BCB with engineering-flavored metrics</w:t>
      </w:r>
    </w:p>
    <w:p>
      <w:pPr>
        <w:pStyle w:val="ListBullet"/>
      </w:pPr>
      <w:r>
        <w:t>Container / provenance / DAG documentation as a first-class contribution</w:t>
      </w:r>
    </w:p>
    <w:p>
      <w:pPr>
        <w:pStyle w:val="Heading3"/>
      </w:pPr>
      <w:r>
        <w:t>Manuscript breakdown</w:t>
      </w:r>
    </w:p>
    <w:p>
      <w:r>
        <w:t>Engineering-heavy. Main figures show pipeline DAG, benchmark tables, container digests.</w:t>
      </w:r>
    </w:p>
    <w:p>
      <w:pPr>
        <w:pStyle w:val="Heading3"/>
      </w:pPr>
      <w:r>
        <w:t>Effort estimate</w:t>
      </w:r>
    </w:p>
    <w:p>
      <w:r>
        <w:t>Would compete with Paper 1 (factorial paper) for the engineering framing. Probably not worth pursuing as a separate paper unless Paper 1 pivots.</w:t>
      </w:r>
    </w:p>
    <w:p>
      <w:pPr>
        <w:pStyle w:val="Heading3"/>
      </w:pPr>
      <w:r>
        <w:t>Risk / failure modes</w:t>
      </w:r>
    </w:p>
    <w:p>
      <w:pPr>
        <w:pStyle w:val="ListBullet"/>
      </w:pPr>
      <w:r>
        <w:rPr>
          <w:b/>
        </w:rPr>
        <w:t>Overlaps with Paper 1</w:t>
      </w:r>
      <w:r>
        <w:t xml:space="preserve"> — probably better to fold engineering framing into Paper 1 supplement.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Journal of Neurotrauma — realistic clinical backup</w:t>
      </w:r>
    </w:p>
    <w:p>
      <w:pPr>
        <w:pStyle w:val="Heading3"/>
      </w:pPr>
      <w:r>
        <w:t>Editorial identity</w:t>
      </w:r>
    </w:p>
    <w:p>
      <w:pPr>
        <w:pStyle w:val="ListBullet"/>
      </w:pPr>
      <w:r>
        <w:rPr>
          <w:b/>
        </w:rPr>
        <w:t>Reader base:</w:t>
      </w:r>
      <w:r>
        <w:t xml:space="preserve"> TBI-focused clinical and translational researchers.</w:t>
      </w:r>
    </w:p>
    <w:p>
      <w:pPr>
        <w:pStyle w:val="ListBullet"/>
      </w:pPr>
      <w:r>
        <w:rPr>
          <w:b/>
        </w:rPr>
        <w:t>Reviewers reward:</w:t>
      </w:r>
      <w:r>
        <w:t xml:space="preserve"> TBI-specific findings, prognostic biomarkers, clinical relevance.</w:t>
      </w:r>
    </w:p>
    <w:p>
      <w:pPr>
        <w:pStyle w:val="ListBullet"/>
      </w:pPr>
      <w:r>
        <w:rPr>
          <w:b/>
        </w:rPr>
        <w:t>Reviewers reject on:</w:t>
      </w:r>
      <w:r>
        <w:t xml:space="preserve"> non-TBI content, weak clinical rationale.</w:t>
      </w:r>
    </w:p>
    <w:p>
      <w:pPr>
        <w:pStyle w:val="ListBullet"/>
      </w:pPr>
      <w:r>
        <w:rPr>
          <w:b/>
        </w:rPr>
        <w:t>Our fit:</w:t>
      </w:r>
      <w:r>
        <w:t xml:space="preserve"> natural home if we want to lead purely with clinical prognostic value.</w:t>
      </w:r>
    </w:p>
    <w:p>
      <w:pPr>
        <w:pStyle w:val="Heading3"/>
      </w:pPr>
      <w:r>
        <w:t>Framing</w:t>
      </w:r>
    </w:p>
    <w:p>
      <w:r>
        <w:rPr>
          <w:b/>
        </w:rPr>
        <w:t>Working title:</w:t>
      </w:r>
      <w:r>
        <w:t xml:space="preserve"> </w:t>
      </w:r>
      <w:r>
        <w:rPr>
          <w:i/>
        </w:rPr>
        <w:t>Structural disconnectome as an outcome biomarker after traumatic brain injury.</w:t>
      </w:r>
    </w:p>
    <w:p>
      <w:pPr>
        <w:pStyle w:val="Heading3"/>
      </w:pPr>
      <w:r>
        <w:t>Analysis required</w:t>
      </w:r>
    </w:p>
    <w:p>
      <w:r>
        <w:t>Basic: cohort processing, GOSE prediction, lesion volume baseline. Neuropsych optional, rs-fMRI optional.</w:t>
      </w:r>
    </w:p>
    <w:p>
      <w:pPr>
        <w:pStyle w:val="Heading3"/>
      </w:pPr>
      <w:r>
        <w:t>Manuscript breakdown</w:t>
      </w:r>
    </w:p>
    <w:p>
      <w:r>
        <w:t>Shorter than Brain; focus on clinical relevance.</w:t>
      </w:r>
    </w:p>
    <w:p>
      <w:pPr>
        <w:pStyle w:val="Heading3"/>
      </w:pPr>
      <w:r>
        <w:t>Effort estimate</w:t>
      </w:r>
    </w:p>
    <w:p>
      <w:r>
        <w:t>Roughly 60% of Brain effort.</w:t>
      </w:r>
    </w:p>
    <w:p>
      <w:pPr>
        <w:pStyle w:val="Heading3"/>
      </w:pPr>
      <w:r>
        <w:t>Risk / failure modes</w:t>
      </w:r>
    </w:p>
    <w:p>
      <w:pPr>
        <w:pStyle w:val="ListBullet"/>
      </w:pPr>
      <w:r>
        <w:rPr>
          <w:b/>
        </w:rPr>
        <w:t>Clinical utility unclear at cohort N</w:t>
      </w:r>
      <w:r>
        <w:t xml:space="preserve"> — reviewers ask for larger validation.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Strategic path selection</w:t>
      </w:r>
    </w:p>
    <w:p>
      <w:pPr>
        <w:pStyle w:val="Heading2"/>
      </w:pPr>
      <w:r>
        <w:t>Design the analysis to unlock either path</w:t>
      </w:r>
    </w:p>
    <w:p>
      <w:r>
        <w:t>Regardless of which venue is the eventual target, the following analyses are required and should be built in parallel:</w:t>
      </w:r>
    </w:p>
    <w:p>
      <w:pPr>
        <w:pStyle w:val="ListNumber"/>
      </w:pPr>
      <w:r>
        <w:rPr>
          <w:b/>
        </w:rPr>
        <w:t>Complete cohort processing</w:t>
      </w:r>
      <w:r>
        <w:t xml:space="preserve"> with fixed lesion-aware arm — required for any Paper 2 version</w:t>
      </w:r>
    </w:p>
    <w:p>
      <w:pPr>
        <w:pStyle w:val="ListNumber"/>
      </w:pPr>
      <w:r>
        <w:rPr>
          <w:b/>
        </w:rPr>
        <w:t>fMRI preprocessing arm</w:t>
      </w:r>
      <w:r>
        <w:t xml:space="preserve"> in the pipeline — required for biology-lead (Brain / HBM biology)</w:t>
      </w:r>
    </w:p>
    <w:p>
      <w:pPr>
        <w:pStyle w:val="ListNumber"/>
      </w:pPr>
      <w:r>
        <w:rPr>
          <w:b/>
        </w:rPr>
        <w:t>LQT + BCB installation and cohort run</w:t>
      </w:r>
      <w:r>
        <w:t xml:space="preserve"> — required for methods-lead (NeuroImage)</w:t>
      </w:r>
    </w:p>
    <w:p>
      <w:pPr>
        <w:pStyle w:val="ListNumber"/>
      </w:pPr>
      <w:r>
        <w:rPr>
          <w:b/>
        </w:rPr>
        <w:t>Complete-case clinical spreadsheet</w:t>
      </w:r>
      <w:r>
        <w:t xml:space="preserve"> — required for any Paper 2 version</w:t>
      </w:r>
    </w:p>
    <w:p>
      <w:pPr>
        <w:pStyle w:val="ListNumber"/>
      </w:pPr>
      <w:r>
        <w:rPr>
          <w:b/>
        </w:rPr>
        <w:t>Schaefer / 4S parcellation</w:t>
      </w:r>
      <w:r>
        <w:t xml:space="preserve"> — required for network-native analyses (Brain domain-specific)</w:t>
      </w:r>
    </w:p>
    <w:p>
      <w:pPr>
        <w:pStyle w:val="ListNumber"/>
      </w:pPr>
      <w:r>
        <w:rPr>
          <w:b/>
        </w:rPr>
        <w:t>Neuropsych factor analysis</w:t>
      </w:r>
      <w:r>
        <w:t xml:space="preserve"> (if battery available) — required for Brain domain-specific + Nature Human Behaviour</w:t>
      </w:r>
    </w:p>
    <w:p>
      <w:pPr>
        <w:pStyle w:val="Heading2"/>
      </w:pPr>
      <w:r>
        <w:t>When to commit to a venue</w:t>
      </w:r>
    </w:p>
    <w:p>
      <w:pPr>
        <w:pStyle w:val="ListBullet"/>
      </w:pPr>
      <w:r>
        <w:rPr>
          <w:b/>
        </w:rPr>
        <w:t>After analyses 1–5 are complete and quality-assessed</w:t>
      </w:r>
      <w:r>
        <w:t xml:space="preserve"> — not before.</w:t>
      </w:r>
    </w:p>
    <w:p>
      <w:pPr>
        <w:pStyle w:val="ListBullet"/>
      </w:pPr>
      <w:r>
        <w:rPr>
          <w:b/>
        </w:rPr>
        <w:t>Lock analysis plan before opening group-level results</w:t>
      </w:r>
      <w:r>
        <w:t xml:space="preserve"> — pre-register internally.</w:t>
      </w:r>
    </w:p>
    <w:p>
      <w:pPr>
        <w:pStyle w:val="ListBullet"/>
      </w:pPr>
      <w:r>
        <w:rPr>
          <w:b/>
        </w:rPr>
        <w:t>Choose venue based on which contribution is quantitatively stronger</w:t>
      </w:r>
      <w:r>
        <w:t xml:space="preserve"> — head-to-head divergence vs SC→FC coupling.</w:t>
      </w:r>
    </w:p>
    <w:p>
      <w:pPr>
        <w:pStyle w:val="Heading2"/>
      </w:pPr>
      <w:r>
        <w:t>Pre-registration principles</w:t>
      </w:r>
    </w:p>
    <w:p>
      <w:r>
        <w:t>Before opening group results:</w:t>
      </w:r>
    </w:p>
    <w:p>
      <w:pPr>
        <w:pStyle w:val="ListBullet"/>
      </w:pPr>
      <w:r>
        <w:t xml:space="preserve">[ ] Primary imaging arm fixed (default </w:t>
      </w:r>
      <w:r>
        <w:rPr>
          <w:rFonts w:ascii="Consolas" w:hAnsi="Consolas"/>
          <w:sz w:val="20"/>
        </w:rPr>
        <w:t>neurolit-lesion</w:t>
      </w:r>
      <w:r>
        <w:t>)</w:t>
      </w:r>
    </w:p>
    <w:p>
      <w:pPr>
        <w:pStyle w:val="ListBullet"/>
      </w:pPr>
      <w:r>
        <w:t>[ ] Primary clinical outcome fixed (default 6-month GOSE)</w:t>
      </w:r>
    </w:p>
    <w:p>
      <w:pPr>
        <w:pStyle w:val="ListBullet"/>
      </w:pPr>
      <w:r>
        <w:t>[ ] Primary imaging outcome fixed (default global disconnection score)</w:t>
      </w:r>
    </w:p>
    <w:p>
      <w:pPr>
        <w:pStyle w:val="ListBullet"/>
      </w:pPr>
      <w:r>
        <w:t>[ ] Visit-timing rule fixed (default 2wk imaging → 6mo outcome)</w:t>
      </w:r>
    </w:p>
    <w:p>
      <w:pPr>
        <w:pStyle w:val="ListBullet"/>
      </w:pPr>
      <w:r>
        <w:t>[ ] Covariate set fixed (age, sex, education, GCS, lesion volume)</w:t>
      </w:r>
    </w:p>
    <w:p>
      <w:pPr>
        <w:pStyle w:val="ListBullet"/>
      </w:pPr>
      <w:r>
        <w:t>[ ] Network-to-domain mapping fixed (which atlas → which composite)</w:t>
      </w:r>
    </w:p>
    <w:p>
      <w:pPr>
        <w:pStyle w:val="ListBullet"/>
      </w:pPr>
      <w:r>
        <w:t>[ ] Incremental-validity benchmark models specified</w:t>
      </w:r>
    </w:p>
    <w:p>
      <w:pPr>
        <w:pStyle w:val="ListBullet"/>
      </w:pPr>
      <w:r>
        <w:t>[ ] Complete-case N threshold specified (proceed at N ≥ 45, limitations at 30–44, fold into Paper 1 at &lt; 30)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Master timeline</w:t>
      </w:r>
    </w:p>
    <w:p>
      <w:r>
        <w:t>Assuming clinical export arrives within 2 months and cohort processing runs in parallel: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Month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Milestone</w:t>
            </w:r>
          </w:p>
        </w:tc>
      </w:tr>
      <w:tr>
        <w:tc>
          <w:tcPr>
            <w:tcW w:type="dxa" w:w="4824"/>
          </w:tcPr>
          <w:p>
            <w:r/>
            <w:r>
              <w:t>Month 1</w:t>
            </w:r>
          </w:p>
        </w:tc>
        <w:tc>
          <w:tcPr>
            <w:tcW w:type="dxa" w:w="4824"/>
          </w:tcPr>
          <w:p>
            <w:r/>
            <w:r>
              <w:t>Clinical data-dictionary request; cohort processing (fixed arm) start; fMRI arm engineering start</w:t>
            </w:r>
          </w:p>
        </w:tc>
      </w:tr>
      <w:tr>
        <w:tc>
          <w:tcPr>
            <w:tcW w:type="dxa" w:w="4824"/>
          </w:tcPr>
          <w:p>
            <w:r/>
            <w:r>
              <w:t>Month 2</w:t>
            </w:r>
          </w:p>
        </w:tc>
        <w:tc>
          <w:tcPr>
            <w:tcW w:type="dxa" w:w="4824"/>
          </w:tcPr>
          <w:p>
            <w:r/>
            <w:r>
              <w:t>Complete-case spreadsheet built; N confirmed; analysis plan locked; LQT/BCB install</w:t>
            </w:r>
          </w:p>
        </w:tc>
      </w:tr>
      <w:tr>
        <w:tc>
          <w:tcPr>
            <w:tcW w:type="dxa" w:w="4824"/>
          </w:tcPr>
          <w:p>
            <w:r/>
            <w:r>
              <w:t>Month 3</w:t>
            </w:r>
          </w:p>
        </w:tc>
        <w:tc>
          <w:tcPr>
            <w:tcW w:type="dxa" w:w="4824"/>
          </w:tcPr>
          <w:p>
            <w:r/>
            <w:r>
              <w:t>Cohort processing complete; fMRI arm complete on cohort; SDC head-to-head figures drafted</w:t>
            </w:r>
          </w:p>
        </w:tc>
      </w:tr>
      <w:tr>
        <w:tc>
          <w:tcPr>
            <w:tcW w:type="dxa" w:w="4824"/>
          </w:tcPr>
          <w:p>
            <w:r/>
            <w:r>
              <w:t>Month 4</w:t>
            </w:r>
          </w:p>
        </w:tc>
        <w:tc>
          <w:tcPr>
            <w:tcW w:type="dxa" w:w="4824"/>
          </w:tcPr>
          <w:p>
            <w:r/>
            <w:r>
              <w:t>SC→FC coupling analysis complete; GOSE / neuropsych regression complete</w:t>
            </w:r>
          </w:p>
        </w:tc>
      </w:tr>
      <w:tr>
        <w:tc>
          <w:tcPr>
            <w:tcW w:type="dxa" w:w="4824"/>
          </w:tcPr>
          <w:p>
            <w:r/>
            <w:r>
              <w:t>Month 5</w:t>
            </w:r>
          </w:p>
        </w:tc>
        <w:tc>
          <w:tcPr>
            <w:tcW w:type="dxa" w:w="4824"/>
          </w:tcPr>
          <w:p>
            <w:r/>
            <w:r>
              <w:t>Venue decision (NeuroImage vs Brain vs HBM); manuscript drafting begins</w:t>
            </w:r>
          </w:p>
        </w:tc>
      </w:tr>
      <w:tr>
        <w:tc>
          <w:tcPr>
            <w:tcW w:type="dxa" w:w="4824"/>
          </w:tcPr>
          <w:p>
            <w:r/>
            <w:r>
              <w:t>Month 6</w:t>
            </w:r>
          </w:p>
        </w:tc>
        <w:tc>
          <w:tcPr>
            <w:tcW w:type="dxa" w:w="4824"/>
          </w:tcPr>
          <w:p>
            <w:r/>
            <w:r>
              <w:t>First draft complete; internal coauthor review</w:t>
            </w:r>
          </w:p>
        </w:tc>
      </w:tr>
      <w:tr>
        <w:tc>
          <w:tcPr>
            <w:tcW w:type="dxa" w:w="4824"/>
          </w:tcPr>
          <w:p>
            <w:r/>
            <w:r>
              <w:t>Month 7</w:t>
            </w:r>
          </w:p>
        </w:tc>
        <w:tc>
          <w:tcPr>
            <w:tcW w:type="dxa" w:w="4824"/>
          </w:tcPr>
          <w:p>
            <w:r/>
            <w:r>
              <w:t>Coauthor revisions; final polish</w:t>
            </w:r>
          </w:p>
        </w:tc>
      </w:tr>
      <w:tr>
        <w:tc>
          <w:tcPr>
            <w:tcW w:type="dxa" w:w="4824"/>
          </w:tcPr>
          <w:p>
            <w:r/>
            <w:r>
              <w:t>Month 8</w:t>
            </w:r>
          </w:p>
        </w:tc>
        <w:tc>
          <w:tcPr>
            <w:tcW w:type="dxa" w:w="4824"/>
          </w:tcPr>
          <w:p>
            <w:r/>
            <w:r>
              <w:t>Submission</w:t>
            </w:r>
          </w:p>
        </w:tc>
      </w:tr>
    </w:tbl>
    <w:p/>
    <w:p>
      <w:r>
        <w:t>Realistic revision + resubmission adds 2–4 additional months to publication.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Appendix A — Analysis inventory (what needs building)</w:t>
      </w:r>
    </w:p>
    <w:p>
      <w:pPr>
        <w:pStyle w:val="ListBullet"/>
      </w:pPr>
      <w:r>
        <w:t>[ ] fMRI preprocessing arm (fMRIPrep + XCP-D or equivalent) — new pipeline component</w:t>
      </w:r>
    </w:p>
    <w:p>
      <w:pPr>
        <w:pStyle w:val="ListBullet"/>
      </w:pPr>
      <w:r>
        <w:t>[ ] LQT installation + wrapper (MATLAB or Python port) — new tool</w:t>
      </w:r>
    </w:p>
    <w:p>
      <w:pPr>
        <w:pStyle w:val="ListBullet"/>
      </w:pPr>
      <w:r>
        <w:t>[ ] BCBtoolkit installation + wrapper — new tool</w:t>
      </w:r>
    </w:p>
    <w:p>
      <w:pPr>
        <w:pStyle w:val="ListBullet"/>
      </w:pPr>
      <w:r>
        <w:t>[ ] Schaefer 200 / 4S parcellation runs on the Paper 2 subset — existing pipeline supports, just add config</w:t>
      </w:r>
    </w:p>
    <w:p>
      <w:pPr>
        <w:pStyle w:val="ListBullet"/>
      </w:pPr>
      <w:r>
        <w:t>[ ] SDC divergence analysis script (edge-wise, subject-level, subgroup) — new analysis code</w:t>
      </w:r>
    </w:p>
    <w:p>
      <w:pPr>
        <w:pStyle w:val="ListBullet"/>
      </w:pPr>
      <w:r>
        <w:t>[ ] CCA implementation for SDC↔FC — new analysis code</w:t>
      </w:r>
    </w:p>
    <w:p>
      <w:pPr>
        <w:pStyle w:val="ListBullet"/>
      </w:pPr>
      <w:r>
        <w:t>[ ] Incremental-validity nested regression suite — new analysis code</w:t>
      </w:r>
    </w:p>
    <w:p>
      <w:pPr>
        <w:pStyle w:val="ListBullet"/>
      </w:pPr>
      <w:r>
        <w:t>[ ] MNI group-average disconnectome — new analysis code</w:t>
      </w:r>
    </w:p>
    <w:p>
      <w:pPr>
        <w:pStyle w:val="ListBullet"/>
      </w:pPr>
      <w:r>
        <w:t>[ ] Complete-case spreadsheet builder — new analysis code</w:t>
      </w:r>
    </w:p>
    <w:p>
      <w:pPr>
        <w:pStyle w:val="ListBullet"/>
      </w:pPr>
      <w:r>
        <w:t>[ ] Face-validity figure generator — new analysis code</w:t>
      </w:r>
    </w:p>
    <w:p>
      <w:pPr>
        <w:pStyle w:val="Heading1"/>
      </w:pPr>
      <w:r>
        <w:t>Appendix B — Reproducibility inventory (what's already built)</w:t>
      </w:r>
    </w:p>
    <w:p>
      <w:pPr>
        <w:pStyle w:val="ListBullet"/>
      </w:pPr>
      <w:r>
        <w:t>[x] Containerized pipeline (dkt_connectome, dkt_lesion_act, dkt_vbt SIFs on GHCR + DockerHub)</w:t>
      </w:r>
    </w:p>
    <w:p>
      <w:pPr>
        <w:pStyle w:val="ListBullet"/>
      </w:pPr>
      <w:r>
        <w:t>[x] Snakemake DAG with per-step marker files</w:t>
      </w:r>
    </w:p>
    <w:p>
      <w:pPr>
        <w:pStyle w:val="ListBullet"/>
      </w:pPr>
      <w:r>
        <w:t>[x] Provenance JSON at each step (</w:t>
      </w:r>
      <w:r>
        <w:rPr>
          <w:rFonts w:ascii="Consolas" w:hAnsi="Consolas"/>
          <w:sz w:val="20"/>
        </w:rPr>
        <w:t>lesion_aware_act.json</w:t>
      </w:r>
      <w:r>
        <w:t xml:space="preserve">, </w:t>
      </w:r>
      <w:r>
        <w:rPr>
          <w:rFonts w:ascii="Consolas" w:hAnsi="Consolas"/>
          <w:sz w:val="20"/>
        </w:rPr>
        <w:t>disconnectome.json</w:t>
      </w:r>
      <w:r>
        <w:t>, etc.)</w:t>
      </w:r>
    </w:p>
    <w:p>
      <w:pPr>
        <w:pStyle w:val="ListBullet"/>
      </w:pPr>
      <w:r>
        <w:t>[x] Per-arm output isolation (</w:t>
      </w:r>
      <w:r>
        <w:rPr>
          <w:rFonts w:ascii="Consolas" w:hAnsi="Consolas"/>
          <w:sz w:val="20"/>
        </w:rPr>
        <w:t>RESULTS_ROOT/arms/&lt;arm&gt;/</w:t>
      </w:r>
      <w:r>
        <w:t>)</w:t>
      </w:r>
    </w:p>
    <w:p>
      <w:pPr>
        <w:pStyle w:val="ListBullet"/>
      </w:pPr>
      <w:r>
        <w:t>[x] BIDS App interface</w:t>
      </w:r>
    </w:p>
    <w:p>
      <w:pPr>
        <w:pStyle w:val="ListBullet"/>
      </w:pPr>
      <w:r>
        <w:t>[x] QC dashboards (subject-level HTML)</w:t>
      </w:r>
    </w:p>
    <w:p>
      <w:pPr>
        <w:pStyle w:val="ListBullet"/>
      </w:pPr>
      <w:r>
        <w:t>[x] Disconnectome integrity QC (Options A/B/C sensitivity)</w:t>
      </w:r>
    </w:p>
    <w:p>
      <w:pPr>
        <w:pStyle w:val="ListBullet"/>
      </w:pPr>
      <w:r>
        <w:t>[x] Six-arm factorial experiment tree on pilot subject</w:t>
      </w:r>
    </w:p>
    <w:p>
      <w:pPr>
        <w:pStyle w:val="Heading1"/>
      </w:pPr>
      <w:r>
        <w:t>Appendix C — Manuscript checklists</w:t>
      </w:r>
    </w:p>
    <w:p>
      <w:pPr>
        <w:pStyle w:val="Heading2"/>
      </w:pPr>
      <w:r>
        <w:t>NeuroImage checklist</w:t>
      </w:r>
    </w:p>
    <w:p>
      <w:pPr>
        <w:pStyle w:val="ListBullet"/>
      </w:pPr>
      <w:r>
        <w:t>[ ] Methods innovation stated crisply in abstract</w:t>
      </w:r>
    </w:p>
    <w:p>
      <w:pPr>
        <w:pStyle w:val="ListBullet"/>
      </w:pPr>
      <w:r>
        <w:t>[ ] Head-to-head figure (patient-specific vs LQT vs BCB) as Figure 1 or 2</w:t>
      </w:r>
    </w:p>
    <w:p>
      <w:pPr>
        <w:pStyle w:val="ListBullet"/>
      </w:pPr>
      <w:r>
        <w:t>[ ] Quantitative divergence metrics reported</w:t>
      </w:r>
    </w:p>
    <w:p>
      <w:pPr>
        <w:pStyle w:val="ListBullet"/>
      </w:pPr>
      <w:r>
        <w:t>[ ] Clinical downstream validation as Results, not Discussion</w:t>
      </w:r>
    </w:p>
    <w:p>
      <w:pPr>
        <w:pStyle w:val="ListBullet"/>
      </w:pPr>
      <w:r>
        <w:t>[ ] Reproducibility statement + container digests</w:t>
      </w:r>
    </w:p>
    <w:p>
      <w:pPr>
        <w:pStyle w:val="ListBullet"/>
      </w:pPr>
      <w:r>
        <w:t>[ ] Code and container URLs in data availability</w:t>
      </w:r>
    </w:p>
    <w:p>
      <w:pPr>
        <w:pStyle w:val="ListBullet"/>
      </w:pPr>
      <w:r>
        <w:t>[ ] Robustness analyses in supplement</w:t>
      </w:r>
    </w:p>
    <w:p>
      <w:pPr>
        <w:pStyle w:val="Heading2"/>
      </w:pPr>
      <w:r>
        <w:t>Brain checklist</w:t>
      </w:r>
    </w:p>
    <w:p>
      <w:pPr>
        <w:pStyle w:val="ListBullet"/>
      </w:pPr>
      <w:r>
        <w:t>[ ] Clinical relevance stated in first paragraph</w:t>
      </w:r>
    </w:p>
    <w:p>
      <w:pPr>
        <w:pStyle w:val="ListBullet"/>
      </w:pPr>
      <w:r>
        <w:t>[ ] Griffis 2019 explicitly cited and positioned</w:t>
      </w:r>
    </w:p>
    <w:p>
      <w:pPr>
        <w:pStyle w:val="ListBullet"/>
      </w:pPr>
      <w:r>
        <w:t>[ ] SC → FC → behavior chain figure as Figure 2 or 3</w:t>
      </w:r>
    </w:p>
    <w:p>
      <w:pPr>
        <w:pStyle w:val="ListBullet"/>
      </w:pPr>
      <w:r>
        <w:t>[ ] Domain-specific mapping figure</w:t>
      </w:r>
    </w:p>
    <w:p>
      <w:pPr>
        <w:pStyle w:val="ListBullet"/>
      </w:pPr>
      <w:r>
        <w:t>[ ] Incremental validity vs lesion volume table</w:t>
      </w:r>
    </w:p>
    <w:p>
      <w:pPr>
        <w:pStyle w:val="ListBullet"/>
      </w:pPr>
      <w:r>
        <w:t>[ ] Group-average disconnectome face-validity figure</w:t>
      </w:r>
    </w:p>
    <w:p>
      <w:pPr>
        <w:pStyle w:val="ListBullet"/>
      </w:pPr>
      <w:r>
        <w:t>[ ] Cohort demographics table</w:t>
      </w:r>
    </w:p>
    <w:p>
      <w:pPr>
        <w:pStyle w:val="ListBullet"/>
      </w:pPr>
      <w:r>
        <w:t>[ ] Clinical implications discussion</w:t>
      </w:r>
    </w:p>
    <w:p>
      <w:pPr>
        <w:pStyle w:val="Heading2"/>
      </w:pPr>
      <w:r>
        <w:t>HBM checklist</w:t>
      </w:r>
    </w:p>
    <w:p>
      <w:pPr>
        <w:pStyle w:val="ListBullet"/>
      </w:pPr>
      <w:r>
        <w:t>[ ] Either NeuroImage or Brain checklist, minus 1–2 items</w:t>
      </w:r>
    </w:p>
    <w:p>
      <w:pPr>
        <w:pStyle w:val="ListBullet"/>
      </w:pPr>
      <w:r>
        <w:t>[ ] Honest limitations section</w:t>
      </w:r>
    </w:p>
    <w:p>
      <w:pPr>
        <w:pStyle w:val="ListBullet"/>
      </w:pPr>
      <w:r>
        <w:t>[ ] Coherent whole (methods + biology + clinical)</w:t>
      </w:r>
    </w:p>
    <w:p>
      <w:pPr>
        <w:pStyle w:val="Heading2"/>
      </w:pPr>
      <w:r>
        <w:t>Appendix D — What TRACK-TBI clinical export should include</w:t>
      </w:r>
    </w:p>
    <w:p>
      <w:r>
        <w:t>Request from PI / data core: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4824"/>
          </w:tcPr>
          <w:p>
            <w:r/>
            <w:r>
              <w:t>GOSE at each visit (2wk, 3mo, 6mo, 12mo) + visit date</w:t>
            </w:r>
          </w:p>
        </w:tc>
        <w:tc>
          <w:tcPr>
            <w:tcW w:type="dxa" w:w="4824"/>
          </w:tcPr>
          <w:p>
            <w:r/>
            <w:r>
              <w:t>Primary outcome</w:t>
            </w:r>
          </w:p>
        </w:tc>
      </w:tr>
      <w:tr>
        <w:tc>
          <w:tcPr>
            <w:tcW w:type="dxa" w:w="4824"/>
          </w:tcPr>
          <w:p>
            <w:r/>
            <w:r>
              <w:t>RPQ or PCL-5 at each visit</w:t>
            </w:r>
          </w:p>
        </w:tc>
        <w:tc>
          <w:tcPr>
            <w:tcW w:type="dxa" w:w="4824"/>
          </w:tcPr>
          <w:p>
            <w:r/>
            <w:r>
              <w:t>Secondary symptom outcome</w:t>
            </w:r>
          </w:p>
        </w:tc>
      </w:tr>
      <w:tr>
        <w:tc>
          <w:tcPr>
            <w:tcW w:type="dxa" w:w="4824"/>
          </w:tcPr>
          <w:p>
            <w:r/>
            <w:r>
              <w:t>Neuropsych battery (Trail Making A/B, WAIS Processing Speed, CVLT-II, BVMT-R, COWA, SDMT) with visit dates</w:t>
            </w:r>
          </w:p>
        </w:tc>
        <w:tc>
          <w:tcPr>
            <w:tcW w:type="dxa" w:w="4824"/>
          </w:tcPr>
          <w:p>
            <w:r/>
            <w:r>
              <w:t>Domain-specific outcomes (unlocks Brain + NHB)</w:t>
            </w:r>
          </w:p>
        </w:tc>
      </w:tr>
      <w:tr>
        <w:tc>
          <w:tcPr>
            <w:tcW w:type="dxa" w:w="4824"/>
          </w:tcPr>
          <w:p>
            <w:r/>
            <w:r>
              <w:t>GCS (field + admission)</w:t>
            </w:r>
          </w:p>
        </w:tc>
        <w:tc>
          <w:tcPr>
            <w:tcW w:type="dxa" w:w="4824"/>
          </w:tcPr>
          <w:p>
            <w:r/>
            <w:r>
              <w:t>Injury severity covariate</w:t>
            </w:r>
          </w:p>
        </w:tc>
      </w:tr>
      <w:tr>
        <w:tc>
          <w:tcPr>
            <w:tcW w:type="dxa" w:w="4824"/>
          </w:tcPr>
          <w:p>
            <w:r/>
            <w:r>
              <w:t>PTA, LOC duration</w:t>
            </w:r>
          </w:p>
        </w:tc>
        <w:tc>
          <w:tcPr>
            <w:tcW w:type="dxa" w:w="4824"/>
          </w:tcPr>
          <w:p>
            <w:r/>
            <w:r>
              <w:t>Injury severity covariate</w:t>
            </w:r>
          </w:p>
        </w:tc>
      </w:tr>
      <w:tr>
        <w:tc>
          <w:tcPr>
            <w:tcW w:type="dxa" w:w="4824"/>
          </w:tcPr>
          <w:p>
            <w:r/>
            <w:r>
              <w:t>Age at injury, sex, education years, race, prior TBI history</w:t>
            </w:r>
          </w:p>
        </w:tc>
        <w:tc>
          <w:tcPr>
            <w:tcW w:type="dxa" w:w="4824"/>
          </w:tcPr>
          <w:p>
            <w:r/>
            <w:r>
              <w:t>Mandatory covariates</w:t>
            </w:r>
          </w:p>
        </w:tc>
      </w:tr>
      <w:tr>
        <w:tc>
          <w:tcPr>
            <w:tcW w:type="dxa" w:w="4824"/>
          </w:tcPr>
          <w:p>
            <w:r/>
            <w:r>
              <w:t>Mechanism of injury (MVA / fall / assault / sports / other)</w:t>
            </w:r>
          </w:p>
        </w:tc>
        <w:tc>
          <w:tcPr>
            <w:tcW w:type="dxa" w:w="4824"/>
          </w:tcPr>
          <w:p>
            <w:r/>
            <w:r>
              <w:t>Descriptive + subgroup stratification</w:t>
            </w:r>
          </w:p>
        </w:tc>
      </w:tr>
      <w:tr>
        <w:tc>
          <w:tcPr>
            <w:tcW w:type="dxa" w:w="4824"/>
          </w:tcPr>
          <w:p>
            <w:r/>
            <w:r>
              <w:t>Lesion characteristics (volume mm³, lobar location) — if not already in BIDS derivatives</w:t>
            </w:r>
          </w:p>
        </w:tc>
        <w:tc>
          <w:tcPr>
            <w:tcW w:type="dxa" w:w="4824"/>
          </w:tcPr>
          <w:p>
            <w:r/>
            <w:r>
              <w:t>Mandatory covariate</w:t>
            </w:r>
          </w:p>
        </w:tc>
      </w:tr>
      <w:tr>
        <w:tc>
          <w:tcPr>
            <w:tcW w:type="dxa" w:w="4824"/>
          </w:tcPr>
          <w:p>
            <w:r/>
            <w:r>
              <w:t>Site / scanner</w:t>
            </w:r>
          </w:p>
        </w:tc>
        <w:tc>
          <w:tcPr>
            <w:tcW w:type="dxa" w:w="4824"/>
          </w:tcPr>
          <w:p>
            <w:r/>
            <w:r>
              <w:t>Harmonization covariate</w:t>
            </w:r>
          </w:p>
        </w:tc>
      </w:tr>
      <w:tr>
        <w:tc>
          <w:tcPr>
            <w:tcW w:type="dxa" w:w="4824"/>
          </w:tcPr>
          <w:p>
            <w:r/>
            <w:r>
              <w:t>Enrollment date + inclusion/exclusion metadata</w:t>
            </w:r>
          </w:p>
        </w:tc>
        <w:tc>
          <w:tcPr>
            <w:tcW w:type="dxa" w:w="4824"/>
          </w:tcPr>
          <w:p>
            <w:r/>
            <w:r>
              <w:t>Cohort construction</w:t>
            </w:r>
          </w:p>
        </w:tc>
      </w:tr>
    </w:tbl>
    <w:p/>
    <w:p>
      <w:r>
        <w:rPr>
          <w:b/>
        </w:rPr>
        <w:t>Ask specifically:</w:t>
      </w:r>
      <w:r>
        <w:t xml:space="preserve"> </w:t>
      </w:r>
      <w:r>
        <w:rPr>
          <w:i/>
        </w:rPr>
        <w:t>"For subjects with lesion masks + DWI + rs-fMRI in the TrackTBI-Sub subset, what fraction have (a) 6-month GOSE, (b) a neuropsych composite at 6 months, and (c) all covariates listed above?"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See also</w:t>
      </w:r>
    </w:p>
    <w:p>
      <w:pPr>
        <w:pStyle w:val="ListBullet"/>
      </w:pPr>
      <w:r>
        <w:rPr>
          <w:color w:val="1F4E79"/>
          <w:u w:val="single"/>
        </w:rPr>
        <w:t>publication_strategy.md</w:t>
      </w:r>
      <w:r>
        <w:t xml:space="preserve"> — cross-paper strategy</w:t>
      </w:r>
    </w:p>
    <w:p>
      <w:pPr>
        <w:pStyle w:val="ListBullet"/>
      </w:pPr>
      <w:r>
        <w:rPr>
          <w:color w:val="1F4E79"/>
          <w:u w:val="single"/>
        </w:rPr>
        <w:t>paper2_disconnectome_outcomes.md</w:t>
      </w:r>
      <w:r>
        <w:t xml:space="preserve"> — Paper 2 planning stub (analysis registry, complete-case template)</w:t>
      </w:r>
    </w:p>
    <w:p>
      <w:pPr>
        <w:pStyle w:val="ListBullet"/>
      </w:pPr>
      <w:r>
        <w:rPr>
          <w:color w:val="1F4E79"/>
          <w:u w:val="single"/>
        </w:rPr>
        <w:t>../lesion_aware.md</w:t>
      </w:r>
      <w:r>
        <w:t xml:space="preserve"> — lesion-aware ACT methodology</w:t>
      </w:r>
    </w:p>
    <w:p>
      <w:pPr>
        <w:pStyle w:val="ListBullet"/>
      </w:pPr>
      <w:r>
        <w:rPr>
          <w:color w:val="1F4E79"/>
          <w:u w:val="single"/>
        </w:rPr>
        <w:t>../disconnectome.md</w:t>
      </w:r>
      <w:r>
        <w:t xml:space="preserve"> — Step 4.1 methods</w:t>
      </w:r>
    </w:p>
    <w:p>
      <w:pPr>
        <w:pStyle w:val="ListBullet"/>
      </w:pPr>
      <w:r>
        <w:rPr>
          <w:color w:val="1F4E79"/>
          <w:u w:val="single"/>
        </w:rPr>
        <w:t>../validation.md</w:t>
      </w:r>
      <w:r>
        <w:t xml:space="preserve"> — validation cohort context</w:t>
      </w:r>
    </w:p>
    <w:p>
      <w:pPr>
        <w:pStyle w:val="ListBullet"/>
      </w:pPr>
      <w:r>
        <w:rPr>
          <w:color w:val="1F4E79"/>
          <w:u w:val="single"/>
        </w:rPr>
        <w:t>../references.md</w:t>
      </w:r>
      <w:r>
        <w:t xml:space="preserve"> — full bibliography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