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Disconnectome paper — analysis plan (pre-registration template)</w:t>
      </w:r>
    </w:p>
    <w:p>
      <w:r>
        <w:rPr>
          <w:b/>
        </w:rPr>
        <w:t>Purpose:</w:t>
      </w:r>
      <w:r>
        <w:t xml:space="preserve"> locked design decisions for the disconnectome paper (Paper 2). Fill in and sign off </w:t>
      </w:r>
      <w:r>
        <w:rPr>
          <w:i/>
        </w:rPr>
        <w:t>before</w:t>
      </w:r>
      <w:r>
        <w:t xml:space="preserve"> opening group-level results. Serves as an internal pre-registration so post-hoc venue choice / model-shopping cannot be mistaken for a priori strategy.</w:t>
      </w:r>
    </w:p>
    <w:p>
      <w:r>
        <w:rPr>
          <w:b/>
        </w:rPr>
        <w:t>Related docs:</w:t>
      </w:r>
      <w:r>
        <w:t xml:space="preserve"> </w:t>
      </w:r>
      <w:r>
        <w:rPr>
          <w:color w:val="1F4E79"/>
          <w:u w:val="single"/>
        </w:rPr>
        <w:t>disconnectome_paper.md</w:t>
      </w:r>
      <w:r>
        <w:t xml:space="preserve"> · </w:t>
      </w:r>
      <w:r>
        <w:rPr>
          <w:color w:val="1F4E79"/>
          <w:u w:val="single"/>
        </w:rPr>
        <w:t>paper2_disconnectome_outcomes.md</w:t>
      </w:r>
      <w:r>
        <w:t xml:space="preserve"> · </w:t>
      </w:r>
      <w:r>
        <w:rPr>
          <w:color w:val="1F4E79"/>
          <w:u w:val="single"/>
        </w:rPr>
        <w:t>journal_tier.md</w:t>
      </w:r>
    </w:p>
    <w:p>
      <w:r>
        <w:rPr>
          <w:b/>
        </w:rPr>
        <w:t>Status:</w:t>
      </w:r>
      <w:r>
        <w:t xml:space="preserve"> DRAFT — not yet signed off.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Sign-off block</w:t>
      </w:r>
    </w:p>
    <w:p>
      <w:r>
        <w:t xml:space="preserve">Once every design decision below is locked, sign here. </w:t>
      </w:r>
      <w:r>
        <w:rPr>
          <w:b/>
        </w:rPr>
        <w:t>No changes to locked items after sign-off without documented amendment (below).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Person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Signature</w:t>
            </w:r>
          </w:p>
        </w:tc>
      </w:tr>
      <w:tr>
        <w:tc>
          <w:tcPr>
            <w:tcW w:type="dxa" w:w="2412"/>
          </w:tcPr>
          <w:p>
            <w:r/>
            <w:r>
              <w:t>_____</w:t>
            </w:r>
          </w:p>
        </w:tc>
        <w:tc>
          <w:tcPr>
            <w:tcW w:type="dxa" w:w="2412"/>
          </w:tcPr>
          <w:p>
            <w:r/>
            <w:r>
              <w:t>PI</w:t>
            </w:r>
          </w:p>
        </w:tc>
        <w:tc>
          <w:tcPr>
            <w:tcW w:type="dxa" w:w="2412"/>
          </w:tcPr>
          <w:p>
            <w:r/>
            <w:r>
              <w:t>______</w:t>
            </w:r>
          </w:p>
        </w:tc>
        <w:tc>
          <w:tcPr>
            <w:tcW w:type="dxa" w:w="2412"/>
          </w:tcPr>
          <w:p>
            <w:r/>
            <w:r>
              <w:t>______</w:t>
            </w:r>
          </w:p>
        </w:tc>
      </w:tr>
      <w:tr>
        <w:tc>
          <w:tcPr>
            <w:tcW w:type="dxa" w:w="2412"/>
          </w:tcPr>
          <w:p>
            <w:r/>
            <w:r>
              <w:t>_____</w:t>
            </w:r>
          </w:p>
        </w:tc>
        <w:tc>
          <w:tcPr>
            <w:tcW w:type="dxa" w:w="2412"/>
          </w:tcPr>
          <w:p>
            <w:r/>
            <w:r>
              <w:t>Analyst</w:t>
            </w:r>
          </w:p>
        </w:tc>
        <w:tc>
          <w:tcPr>
            <w:tcW w:type="dxa" w:w="2412"/>
          </w:tcPr>
          <w:p>
            <w:r/>
            <w:r>
              <w:t>______</w:t>
            </w:r>
          </w:p>
        </w:tc>
        <w:tc>
          <w:tcPr>
            <w:tcW w:type="dxa" w:w="2412"/>
          </w:tcPr>
          <w:p>
            <w:r/>
            <w:r>
              <w:t>______</w:t>
            </w:r>
          </w:p>
        </w:tc>
      </w:tr>
      <w:tr>
        <w:tc>
          <w:tcPr>
            <w:tcW w:type="dxa" w:w="2412"/>
          </w:tcPr>
          <w:p>
            <w:r/>
            <w:r>
              <w:t>_____</w:t>
            </w:r>
          </w:p>
        </w:tc>
        <w:tc>
          <w:tcPr>
            <w:tcW w:type="dxa" w:w="2412"/>
          </w:tcPr>
          <w:p>
            <w:r/>
            <w:r>
              <w:t>Second analyst</w:t>
            </w:r>
          </w:p>
        </w:tc>
        <w:tc>
          <w:tcPr>
            <w:tcW w:type="dxa" w:w="2412"/>
          </w:tcPr>
          <w:p>
            <w:r/>
            <w:r>
              <w:t>______</w:t>
            </w:r>
          </w:p>
        </w:tc>
        <w:tc>
          <w:tcPr>
            <w:tcW w:type="dxa" w:w="2412"/>
          </w:tcPr>
          <w:p>
            <w:r/>
            <w:r>
              <w:t>______</w:t>
            </w:r>
          </w:p>
        </w:tc>
      </w:tr>
    </w:tbl>
    <w:p/>
    <w:p>
      <w:r>
        <w:rPr>
          <w:b/>
        </w:rPr>
        <w:t>Amendments</w:t>
      </w:r>
      <w:r>
        <w:t xml:space="preserve"> (append entries below sign-off; document reason for each):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Section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Reason</w:t>
            </w:r>
          </w:p>
        </w:tc>
      </w:tr>
      <w:tr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/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Fixed imaging arm</w:t>
      </w:r>
    </w:p>
    <w:p>
      <w:pPr>
        <w:pStyle w:val="ListBullet"/>
      </w:pPr>
      <w:r>
        <w:rPr>
          <w:b/>
        </w:rPr>
        <w:t>Default choice:</w:t>
      </w:r>
      <w:r>
        <w:t xml:space="preserve"> </w:t>
      </w:r>
      <w:r>
        <w:rPr>
          <w:rFonts w:ascii="Consolas" w:hAnsi="Consolas"/>
          <w:sz w:val="20"/>
        </w:rPr>
        <w:t>neurolit-lesion</w:t>
      </w:r>
      <w:r>
        <w:t xml:space="preserve"> (neuroLIT anatomy mitigation + lesion-aware ACT)</w:t>
      </w:r>
    </w:p>
    <w:p>
      <w:pPr>
        <w:pStyle w:val="ListBullet"/>
      </w:pPr>
      <w:r>
        <w:rPr>
          <w:b/>
        </w:rPr>
        <w:t>Alternative under consideration:</w:t>
      </w:r>
      <w:r>
        <w:t xml:space="preserve"> </w:t>
      </w:r>
      <w:r>
        <w:rPr>
          <w:rFonts w:ascii="Consolas" w:hAnsi="Consolas"/>
          <w:sz w:val="20"/>
        </w:rPr>
        <w:t>vbt-lesion</w:t>
      </w:r>
      <w:r>
        <w:t xml:space="preserve"> (VBT anatomy mitigation + lesion-aware ACT)</w:t>
      </w:r>
    </w:p>
    <w:p>
      <w:pPr>
        <w:pStyle w:val="ListBullet"/>
      </w:pPr>
      <w:r>
        <w:rPr>
          <w:b/>
        </w:rPr>
        <w:t>Decision rule for choosing:</w:t>
      </w:r>
      <w:r>
        <w:t xml:space="preserve"> whichever arm's pilot QC (on sub-TBI011011) shows higher completion rate + cleaner integrity QC</w:t>
      </w:r>
    </w:p>
    <w:p>
      <w:pPr>
        <w:pStyle w:val="ListBullet"/>
      </w:pPr>
      <w:r>
        <w:rPr>
          <w:b/>
        </w:rPr>
        <w:t>Locked choice:</w:t>
      </w:r>
      <w:r>
        <w:t xml:space="preserve"> ______ (fill after pilot QC review)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Fixed primary outcome</w:t>
      </w:r>
    </w:p>
    <w:p>
      <w:pPr>
        <w:pStyle w:val="ListBullet"/>
      </w:pPr>
      <w:r>
        <w:rPr>
          <w:b/>
        </w:rPr>
        <w:t>Default choice:</w:t>
      </w:r>
      <w:r>
        <w:t xml:space="preserve"> GOSE at 6 months post-injury</w:t>
      </w:r>
    </w:p>
    <w:p>
      <w:pPr>
        <w:pStyle w:val="ListBullet"/>
      </w:pPr>
      <w:r>
        <w:rPr>
          <w:b/>
        </w:rPr>
        <w:t>Rationale:</w:t>
      </w:r>
      <w:r>
        <w:t xml:space="preserve"> most widely-used TBI functional outcome; standard TRACK-TBI collection window; matches Palacios 2022 J Neurotrauma precedent</w:t>
      </w:r>
    </w:p>
    <w:p>
      <w:pPr>
        <w:pStyle w:val="ListBullet"/>
      </w:pPr>
      <w:r>
        <w:rPr>
          <w:b/>
        </w:rPr>
        <w:t>Locked choice:</w:t>
      </w:r>
      <w:r>
        <w:t xml:space="preserve"> ______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Fixed visit-timing rule</w:t>
      </w:r>
    </w:p>
    <w:p>
      <w:pPr>
        <w:pStyle w:val="ListBullet"/>
      </w:pPr>
      <w:r>
        <w:rPr>
          <w:b/>
        </w:rPr>
        <w:t>Default choice:</w:t>
      </w:r>
      <w:r>
        <w:t xml:space="preserve"> imaging at 2WK → outcome at 6mo</w:t>
      </w:r>
    </w:p>
    <w:p>
      <w:pPr>
        <w:pStyle w:val="ListBullet"/>
      </w:pPr>
      <w:r>
        <w:rPr>
          <w:b/>
        </w:rPr>
        <w:t>Rationale:</w:t>
      </w:r>
      <w:r>
        <w:t xml:space="preserve"> matches Griffis 2019 stroke design (acute imaging, subacute-chronic outcome); consistent with clinical decision-support use case</w:t>
      </w:r>
    </w:p>
    <w:p>
      <w:pPr>
        <w:pStyle w:val="ListBullet"/>
      </w:pPr>
      <w:r>
        <w:rPr>
          <w:b/>
        </w:rPr>
        <w:t>Locked choice:</w:t>
      </w:r>
      <w:r>
        <w:t xml:space="preserve"> ______ (imaging session) → ______ (outcome window)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Mandatory covariate set</w:t>
      </w:r>
    </w:p>
    <w:p>
      <w:r>
        <w:t>Locked before opening any regression. All subsequent models include exactly these covariates in the baseline; augmented models add SDC / FC on top.</w:t>
      </w:r>
    </w:p>
    <w:p>
      <w:pPr>
        <w:pStyle w:val="ListBullet"/>
      </w:pPr>
      <w:r>
        <w:t>[ ] Age at injury</w:t>
      </w:r>
    </w:p>
    <w:p>
      <w:pPr>
        <w:pStyle w:val="ListBullet"/>
      </w:pPr>
      <w:r>
        <w:t>[ ] Sex</w:t>
      </w:r>
    </w:p>
    <w:p>
      <w:pPr>
        <w:pStyle w:val="ListBullet"/>
      </w:pPr>
      <w:r>
        <w:t>[ ] Education (years or categorical, decide below)</w:t>
      </w:r>
    </w:p>
    <w:p>
      <w:pPr>
        <w:pStyle w:val="ListBullet"/>
      </w:pPr>
      <w:r>
        <w:t>[ ] GCS (field or admission — decide below)</w:t>
      </w:r>
    </w:p>
    <w:p>
      <w:pPr>
        <w:pStyle w:val="ListBullet"/>
      </w:pPr>
      <w:r>
        <w:t>[ ] Lesion volume (mm³) — computed from lesion_roi_metrics.csv</w:t>
      </w:r>
    </w:p>
    <w:p>
      <w:r>
        <w:rPr>
          <w:b/>
        </w:rPr>
        <w:t>Additional decisions to lock:</w:t>
      </w:r>
    </w:p>
    <w:p>
      <w:pPr>
        <w:pStyle w:val="ListBullet"/>
      </w:pPr>
      <w:r>
        <w:t>Education encoding: ______ (years vs categorical)</w:t>
      </w:r>
    </w:p>
    <w:p>
      <w:pPr>
        <w:pStyle w:val="ListBullet"/>
      </w:pPr>
      <w:r>
        <w:t>GCS: ______ (field vs admission)</w:t>
      </w:r>
    </w:p>
    <w:p>
      <w:pPr>
        <w:pStyle w:val="ListBullet"/>
      </w:pPr>
      <w:r>
        <w:t>Handling missing education/GCS: ______ (exclude subject vs impute; if impute, method)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Primary imaging outcome variable</w:t>
      </w:r>
    </w:p>
    <w:p>
      <w:pPr>
        <w:pStyle w:val="ListBullet"/>
      </w:pPr>
      <w:r>
        <w:rPr>
          <w:b/>
        </w:rPr>
        <w:t>Default choice:</w:t>
      </w:r>
      <w:r>
        <w:t xml:space="preserve"> global disconnection score = sum of D over all edges with D &gt; 0 (from </w:t>
      </w:r>
      <w:r>
        <w:rPr>
          <w:rFonts w:ascii="Consolas" w:hAnsi="Consolas"/>
          <w:sz w:val="20"/>
        </w:rPr>
        <w:t>disconnection_matrix.csv</w:t>
      </w:r>
      <w:r>
        <w:t xml:space="preserve"> Option C spared connectome)</w:t>
      </w:r>
    </w:p>
    <w:p>
      <w:pPr>
        <w:pStyle w:val="ListBullet"/>
      </w:pPr>
      <w:r>
        <w:rPr>
          <w:b/>
        </w:rPr>
        <w:t>Alternative under consideration:</w:t>
      </w:r>
      <w:r>
        <w:t xml:space="preserve"> first principal component of the disconnection matrix</w:t>
      </w:r>
    </w:p>
    <w:p>
      <w:pPr>
        <w:pStyle w:val="ListBullet"/>
      </w:pPr>
      <w:r>
        <w:rPr>
          <w:b/>
        </w:rPr>
        <w:t>Locked choice:</w:t>
      </w:r>
      <w:r>
        <w:t xml:space="preserve"> ______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Network-to-domain mapping (for domain-specific analyses)</w:t>
      </w:r>
    </w:p>
    <w:p>
      <w:r>
        <w:t>Pre-specify which network's SDC will be tested against which cognitive composite. Locking this prevents domain-shopping.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Cognitive domain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Network (parcellation choice)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SDC feature</w:t>
            </w:r>
          </w:p>
        </w:tc>
      </w:tr>
      <w:tr>
        <w:tc>
          <w:tcPr>
            <w:tcW w:type="dxa" w:w="3216"/>
          </w:tcPr>
          <w:p>
            <w:r/>
            <w:r>
              <w:t>Attention / processing speed</w:t>
            </w:r>
          </w:p>
        </w:tc>
        <w:tc>
          <w:tcPr>
            <w:tcW w:type="dxa" w:w="3216"/>
          </w:tcPr>
          <w:p>
            <w:r/>
            <w:r>
              <w:t>______ (default: Yeo7 dorsal attention or Schaefer 200 DAN)</w:t>
            </w:r>
          </w:p>
        </w:tc>
        <w:tc>
          <w:tcPr>
            <w:tcW w:type="dxa" w:w="3216"/>
          </w:tcPr>
          <w:p>
            <w:r/>
            <w:r>
              <w:t>Within-network + between-network SDC</w:t>
            </w:r>
          </w:p>
        </w:tc>
      </w:tr>
      <w:tr>
        <w:tc>
          <w:tcPr>
            <w:tcW w:type="dxa" w:w="3216"/>
          </w:tcPr>
          <w:p>
            <w:r/>
            <w:r>
              <w:t>Memory</w:t>
            </w:r>
          </w:p>
        </w:tc>
        <w:tc>
          <w:tcPr>
            <w:tcW w:type="dxa" w:w="3216"/>
          </w:tcPr>
          <w:p>
            <w:r/>
            <w:r>
              <w:t>______ (default: medial temporal + default mode)</w:t>
            </w:r>
          </w:p>
        </w:tc>
        <w:tc>
          <w:tcPr>
            <w:tcW w:type="dxa" w:w="3216"/>
          </w:tcPr>
          <w:p>
            <w:r/>
            <w:r>
              <w:t>Within-network + between-network SDC</w:t>
            </w:r>
          </w:p>
        </w:tc>
      </w:tr>
      <w:tr>
        <w:tc>
          <w:tcPr>
            <w:tcW w:type="dxa" w:w="3216"/>
          </w:tcPr>
          <w:p>
            <w:r/>
            <w:r>
              <w:t>Executive function</w:t>
            </w:r>
          </w:p>
        </w:tc>
        <w:tc>
          <w:tcPr>
            <w:tcW w:type="dxa" w:w="3216"/>
          </w:tcPr>
          <w:p>
            <w:r/>
            <w:r>
              <w:t>______ (default: Yeo7 fronto-parietal)</w:t>
            </w:r>
          </w:p>
        </w:tc>
        <w:tc>
          <w:tcPr>
            <w:tcW w:type="dxa" w:w="3216"/>
          </w:tcPr>
          <w:p>
            <w:r/>
            <w:r>
              <w:t>Within-network + between-network SDC</w:t>
            </w:r>
          </w:p>
        </w:tc>
      </w:tr>
      <w:tr>
        <w:tc>
          <w:tcPr>
            <w:tcW w:type="dxa" w:w="3216"/>
          </w:tcPr>
          <w:p>
            <w:r/>
            <w:r>
              <w:t>Language</w:t>
            </w:r>
          </w:p>
        </w:tc>
        <w:tc>
          <w:tcPr>
            <w:tcW w:type="dxa" w:w="3216"/>
          </w:tcPr>
          <w:p>
            <w:r/>
            <w:r>
              <w:t>______ (default: Yeo7 left fronto-temporal)</w:t>
            </w:r>
          </w:p>
        </w:tc>
        <w:tc>
          <w:tcPr>
            <w:tcW w:type="dxa" w:w="3216"/>
          </w:tcPr>
          <w:p>
            <w:r/>
            <w:r>
              <w:t>Within-network + between-network SDC</w:t>
            </w:r>
          </w:p>
        </w:tc>
      </w:tr>
      <w:tr>
        <w:tc>
          <w:tcPr>
            <w:tcW w:type="dxa" w:w="3216"/>
          </w:tcPr>
          <w:p>
            <w:r/>
            <w:r>
              <w:t>Motor</w:t>
            </w:r>
          </w:p>
        </w:tc>
        <w:tc>
          <w:tcPr>
            <w:tcW w:type="dxa" w:w="3216"/>
          </w:tcPr>
          <w:p>
            <w:r/>
            <w:r>
              <w:t>______ (default: sensorimotor)</w:t>
            </w:r>
          </w:p>
        </w:tc>
        <w:tc>
          <w:tcPr>
            <w:tcW w:type="dxa" w:w="3216"/>
          </w:tcPr>
          <w:p>
            <w:r/>
            <w:r>
              <w:t>Within-network + between-network SDC</w:t>
            </w:r>
          </w:p>
        </w:tc>
      </w:tr>
    </w:tbl>
    <w:p/>
    <w:p>
      <w:r>
        <w:rPr>
          <w:b/>
        </w:rPr>
        <w:t>Parcellation choice locked:</w:t>
      </w:r>
      <w:r>
        <w:t xml:space="preserve"> ______ (DKT / Schaefer 200 / 4S 156 / other)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Incremental-validity benchmark models</w:t>
      </w:r>
    </w:p>
    <w:p>
      <w:r>
        <w:t>Nested regression models to be fit and compared. Cross-validation strategy and permutation testing are pre-specified.</w:t>
      </w:r>
    </w:p>
    <w:p>
      <w:r>
        <w:rPr>
          <w:b/>
        </w:rPr>
        <w:t>Baseline model:</w:t>
      </w:r>
    </w:p>
    <w:p>
      <w:r>
        <w:rPr>
          <w:rFonts w:ascii="Consolas" w:hAnsi="Consolas"/>
          <w:sz w:val="18"/>
        </w:rPr>
        <w:t>outcome ~ age + sex + education + GCS + lesion_volume_mm3</w:t>
      </w:r>
    </w:p>
    <w:p>
      <w:r>
        <w:rPr>
          <w:b/>
        </w:rPr>
        <w:t>+SDC model:</w:t>
      </w:r>
    </w:p>
    <w:p>
      <w:r>
        <w:rPr>
          <w:rFonts w:ascii="Consolas" w:hAnsi="Consolas"/>
          <w:sz w:val="18"/>
        </w:rPr>
        <w:t>outcome ~ [baseline covariates] + SDC_summary</w:t>
      </w:r>
    </w:p>
    <w:p>
      <w:r>
        <w:rPr>
          <w:b/>
        </w:rPr>
        <w:t>+SDC+FC model (only if rs-fMRI available):</w:t>
      </w:r>
    </w:p>
    <w:p>
      <w:r>
        <w:rPr>
          <w:rFonts w:ascii="Consolas" w:hAnsi="Consolas"/>
          <w:sz w:val="18"/>
        </w:rPr>
        <w:t>outcome ~ [baseline covariates] + SDC_summary + FC_abnormality_summary</w:t>
      </w:r>
    </w:p>
    <w:p>
      <w:r>
        <w:rPr>
          <w:b/>
        </w:rPr>
        <w:t>Comparison metric:</w:t>
      </w:r>
    </w:p>
    <w:p>
      <w:pPr>
        <w:pStyle w:val="ListBullet"/>
      </w:pPr>
      <w:r>
        <w:t>For GOSE (ordinal): cross-validated ΔAUC (5-fold or leave-one-out)</w:t>
      </w:r>
    </w:p>
    <w:p>
      <w:pPr>
        <w:pStyle w:val="ListBullet"/>
      </w:pPr>
      <w:r>
        <w:t>For continuous cognitive composites: cross-validated ΔR²</w:t>
      </w:r>
    </w:p>
    <w:p>
      <w:pPr>
        <w:pStyle w:val="ListBullet"/>
      </w:pPr>
      <w:r>
        <w:t>Statistical test: permutation p-value from 10,000 label-shuffles</w:t>
      </w:r>
    </w:p>
    <w:p>
      <w:r>
        <w:rPr>
          <w:b/>
        </w:rPr>
        <w:t>Cross-validation method locked:</w:t>
      </w:r>
      <w:r>
        <w:t xml:space="preserve"> ______ (5-fold / LOO / other) </w:t>
      </w:r>
      <w:r>
        <w:rPr>
          <w:b/>
        </w:rPr>
        <w:t>Number of permutations locked:</w:t>
      </w:r>
      <w:r>
        <w:t xml:space="preserve"> ______ (default 10,000) </w:t>
      </w:r>
      <w:r>
        <w:rPr>
          <w:b/>
        </w:rPr>
        <w:t>Multiple-comparison correction locked:</w:t>
      </w:r>
      <w:r>
        <w:t xml:space="preserve"> ______ (Bonferroni across domains / FDR / none if single primary test)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Complete-case N threshold</w:t>
      </w:r>
    </w:p>
    <w:p>
      <w:r>
        <w:t>Pre-specify what happens at each N range so the decision is not made after seeing results.</w:t>
      </w:r>
    </w:p>
    <w:p>
      <w:pPr>
        <w:pStyle w:val="ListBullet"/>
      </w:pPr>
      <w:r>
        <w:rPr>
          <w:b/>
        </w:rPr>
        <w:t>N ≥ 45:</w:t>
      </w:r>
      <w:r>
        <w:t xml:space="preserve"> un-pause and execute Paper 2 as planned; primary analyses run.</w:t>
      </w:r>
    </w:p>
    <w:p>
      <w:pPr>
        <w:pStyle w:val="ListBullet"/>
      </w:pPr>
      <w:r>
        <w:rPr>
          <w:b/>
        </w:rPr>
        <w:t>N = 30–44:</w:t>
      </w:r>
      <w:r>
        <w:t xml:space="preserve"> execute with explicit "small-cohort limitations" framing; report all analyses but discuss cautiously.</w:t>
      </w:r>
    </w:p>
    <w:p>
      <w:pPr>
        <w:pStyle w:val="ListBullet"/>
      </w:pPr>
      <w:r>
        <w:rPr>
          <w:b/>
        </w:rPr>
        <w:t>N &lt; 30:</w:t>
      </w:r>
      <w:r>
        <w:t xml:space="preserve"> fold disconnectome results into Paper 1 as one supplementary figure; do not submit as standalone Paper 2.</w:t>
      </w:r>
    </w:p>
    <w:p>
      <w:r>
        <w:rPr>
          <w:b/>
        </w:rPr>
        <w:t>Locked threshold acceptance:</w:t>
      </w:r>
      <w:r>
        <w:t xml:space="preserve"> ______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Head-to-head SDC comparison (methods contribution)</w:t>
      </w:r>
    </w:p>
    <w:p>
      <w:r>
        <w:t>Pre-specify what defines a "meaningful divergence" between patient-specific SDC and normative-atlas SDC.</w:t>
      </w:r>
    </w:p>
    <w:p>
      <w:pPr>
        <w:pStyle w:val="ListBullet"/>
      </w:pPr>
      <w:r>
        <w:rPr>
          <w:b/>
        </w:rPr>
        <w:t>Metric:</w:t>
      </w:r>
      <w:r>
        <w:t xml:space="preserve"> edge-wise Pearson correlation between patient-specific SDC matrix and LQT SDC matrix, per subject.</w:t>
      </w:r>
    </w:p>
    <w:p>
      <w:pPr>
        <w:pStyle w:val="ListBullet"/>
      </w:pPr>
      <w:r>
        <w:rPr>
          <w:b/>
        </w:rPr>
        <w:t>Interpretation thresholds:</w:t>
      </w:r>
    </w:p>
    <w:p>
      <w:pPr>
        <w:pStyle w:val="ListBullet"/>
      </w:pPr>
      <w:r>
        <w:t>r ≥ 0.9 across cohort → methods agree; methods contribution weak; write Brain/HBM biology-lead.</w:t>
      </w:r>
    </w:p>
    <w:p>
      <w:pPr>
        <w:pStyle w:val="ListBullet"/>
      </w:pPr>
      <w:r>
        <w:t>0.7 ≤ r &lt; 0.9 → moderate agreement; methods contribution modest.</w:t>
      </w:r>
    </w:p>
    <w:p>
      <w:pPr>
        <w:pStyle w:val="ListBullet"/>
      </w:pPr>
      <w:r>
        <w:t>r &lt; 0.7 across ≥ 25% of cohort → substantial divergence; methods contribution strong; write NeuroImage methods-lead.</w:t>
      </w:r>
    </w:p>
    <w:p>
      <w:pPr>
        <w:pStyle w:val="ListBullet"/>
      </w:pPr>
      <w:r>
        <w:rPr>
          <w:b/>
        </w:rPr>
        <w:t>Downstream confirmation:</w:t>
      </w:r>
      <w:r>
        <w:t xml:space="preserve"> divergence must translate into cross-validated ΔAUC or ΔR² improvement (patient-specific SDC ≥ 0.02 ΔAUC above LQT SDC on either FC prediction or GOSE prediction) for NeuroImage submission.</w:t>
      </w:r>
    </w:p>
    <w:p>
      <w:pPr>
        <w:pStyle w:val="ListBullet"/>
      </w:pPr>
      <w:r>
        <w:rPr>
          <w:b/>
        </w:rPr>
        <w:t>Locked thresholds:</w:t>
      </w:r>
      <w:r>
        <w:t xml:space="preserve"> ______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Venue decision rule</w:t>
      </w:r>
    </w:p>
    <w:p>
      <w:r>
        <w:t>After primary analyses complete, apply this rule:</w:t>
      </w:r>
    </w:p>
    <w:p>
      <w:pPr>
        <w:pStyle w:val="ListNumber"/>
      </w:pPr>
      <w:r>
        <w:t xml:space="preserve">If head-to-head shows substantial divergence (§ 9) with downstream confirmation → </w:t>
      </w:r>
      <w:r>
        <w:rPr>
          <w:b/>
        </w:rPr>
        <w:t>NeuroImage</w:t>
      </w:r>
      <w:r>
        <w:t xml:space="preserve"> (methods-lead)</w:t>
      </w:r>
    </w:p>
    <w:p>
      <w:pPr>
        <w:pStyle w:val="ListNumber"/>
      </w:pPr>
      <w:r>
        <w:t xml:space="preserve">Else if SC→FC coupling is clean (CCA first-component r ≥ 0.4 with permutation p &lt; 0.05) AND domain-specific network → deficit mapping holds for ≥ 3/5 domains → </w:t>
      </w:r>
      <w:r>
        <w:rPr>
          <w:b/>
        </w:rPr>
        <w:t>Brain</w:t>
      </w:r>
      <w:r>
        <w:t xml:space="preserve"> (biology-lead)</w:t>
      </w:r>
    </w:p>
    <w:p>
      <w:pPr>
        <w:pStyle w:val="ListNumber"/>
      </w:pPr>
      <w:r>
        <w:t xml:space="preserve">Else if the whole is coherent (≥ 1 primary analysis significant with defensible interpretation) → </w:t>
      </w:r>
      <w:r>
        <w:rPr>
          <w:b/>
        </w:rPr>
        <w:t>HBM</w:t>
      </w:r>
      <w:r>
        <w:t xml:space="preserve"> (default)</w:t>
      </w:r>
    </w:p>
    <w:p>
      <w:pPr>
        <w:pStyle w:val="ListNumber"/>
      </w:pPr>
      <w:r>
        <w:t>Else fold disconnectome into Paper 1 supplement</w:t>
      </w:r>
    </w:p>
    <w:p>
      <w:r>
        <w:rPr>
          <w:b/>
        </w:rPr>
        <w:t>Locked rule:</w:t>
      </w:r>
      <w:r>
        <w:t xml:space="preserve"> ______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Timeline</w:t>
      </w:r>
    </w:p>
    <w:p>
      <w:r>
        <w:t>Locked calendar dates for each milestone:</w:t>
      </w:r>
    </w:p>
    <w:p>
      <w:pPr>
        <w:pStyle w:val="ListBullet"/>
      </w:pPr>
      <w:r>
        <w:t>Analysis plan sign-off by: ______</w:t>
      </w:r>
    </w:p>
    <w:p>
      <w:pPr>
        <w:pStyle w:val="ListBullet"/>
      </w:pPr>
      <w:r>
        <w:t>fMRI preprocessing arm complete: ______</w:t>
      </w:r>
    </w:p>
    <w:p>
      <w:pPr>
        <w:pStyle w:val="ListBullet"/>
      </w:pPr>
      <w:r>
        <w:t>LQT / BCB batch runs complete: ______</w:t>
      </w:r>
    </w:p>
    <w:p>
      <w:pPr>
        <w:pStyle w:val="ListBullet"/>
      </w:pPr>
      <w:r>
        <w:t>Group results opened: ______ (</w:t>
      </w:r>
      <w:r>
        <w:rPr>
          <w:b/>
        </w:rPr>
        <w:t>this is the firewall — no design changes after this date</w:t>
      </w:r>
      <w:r>
        <w:t>)</w:t>
      </w:r>
    </w:p>
    <w:p>
      <w:pPr>
        <w:pStyle w:val="ListBullet"/>
      </w:pPr>
      <w:r>
        <w:t>Manuscript draft complete: ______</w:t>
      </w:r>
    </w:p>
    <w:p>
      <w:pPr>
        <w:pStyle w:val="ListBullet"/>
      </w:pPr>
      <w:r>
        <w:t>Coauthor rounds complete: ______</w:t>
      </w:r>
    </w:p>
    <w:p>
      <w:pPr>
        <w:pStyle w:val="ListBullet"/>
      </w:pPr>
      <w:r>
        <w:t>Submission: ______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What is NOT locked (allowed to change)</w:t>
      </w:r>
    </w:p>
    <w:p>
      <w:r>
        <w:t>Everything not listed above is fair game to iterate on during analysis:</w:t>
      </w:r>
    </w:p>
    <w:p>
      <w:pPr>
        <w:pStyle w:val="ListBullet"/>
      </w:pPr>
      <w:r>
        <w:t>Figure design and specific plots</w:t>
      </w:r>
    </w:p>
    <w:p>
      <w:pPr>
        <w:pStyle w:val="ListBullet"/>
      </w:pPr>
      <w:r>
        <w:t>Supplementary analyses and robustness checks</w:t>
      </w:r>
    </w:p>
    <w:p>
      <w:pPr>
        <w:pStyle w:val="ListBullet"/>
      </w:pPr>
      <w:r>
        <w:t>Introduction / discussion narrative choices</w:t>
      </w:r>
    </w:p>
    <w:p>
      <w:pPr>
        <w:pStyle w:val="ListBullet"/>
      </w:pPr>
      <w:r>
        <w:t>Software version updates (unless they change results)</w:t>
      </w:r>
    </w:p>
    <w:p>
      <w:pPr>
        <w:pStyle w:val="ListBullet"/>
      </w:pPr>
      <w:r>
        <w:t>Wording of the primary claim (as long as the underlying finding is unchanged)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What TRIGGERS an amendment (documented above)</w:t>
      </w:r>
    </w:p>
    <w:p>
      <w:pPr>
        <w:pStyle w:val="ListBullet"/>
      </w:pPr>
      <w:r>
        <w:t>Any change to §§ 1–10 after sign-off requires a documented amendment with reason.</w:t>
      </w:r>
    </w:p>
    <w:p>
      <w:pPr>
        <w:pStyle w:val="ListBullet"/>
      </w:pPr>
      <w:r>
        <w:t>Any addition of a new "primary" analysis not on the original list requires demoting it to "exploratory" or opening the firewall (a red flag).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Reviewer defense value</w:t>
      </w:r>
    </w:p>
    <w:p>
      <w:r>
        <w:t>At submission, this pre-registration doc travels as a supplement or is referenced in Methods. Its purpose:</w:t>
      </w:r>
    </w:p>
    <w:p>
      <w:pPr>
        <w:pStyle w:val="ListBullet"/>
      </w:pPr>
      <w:r>
        <w:t>Demonstrates the analysis was pre-specified, not p-hacked</w:t>
      </w:r>
    </w:p>
    <w:p>
      <w:pPr>
        <w:pStyle w:val="ListBullet"/>
      </w:pPr>
      <w:r>
        <w:t>Anchors the venue-choice decision to a rule, not to post-hoc ambition</w:t>
      </w:r>
    </w:p>
    <w:p>
      <w:pPr>
        <w:pStyle w:val="ListBullet"/>
      </w:pPr>
      <w:r>
        <w:t>Documents amendments transparently if any occurred</w:t>
      </w:r>
    </w:p>
    <w:p>
      <w:pPr>
        <w:pStyle w:val="ListBullet"/>
      </w:pPr>
      <w:r>
        <w:t>Supports the "not shopping venues after seeing results" claim</w:t>
      </w:r>
    </w:p>
    <w:p>
      <w:r>
        <w:t>This is the sort of internal pre-registration that HBM / Brain / NeuroImage increasingly expect for prognostic-model papers even without formal OSF registration.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