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Disconnectome paper — cover and navigation</w:t>
      </w:r>
    </w:p>
    <w:p>
      <w:r>
        <w:rPr>
          <w:b/>
        </w:rPr>
        <w:t>Purpose:</w:t>
      </w:r>
      <w:r>
        <w:t xml:space="preserve"> canonical entry point for the "disconnectome paper" (Paper 2 in the portfolio). Consolidates planning artifacts, cross-links supporting docs, and provides the cross-tier paper-citation matrix.</w:t>
      </w:r>
    </w:p>
    <w:p>
      <w:r>
        <w:rPr>
          <w:b/>
        </w:rPr>
        <w:t>Note on nomenclature:</w:t>
      </w:r>
      <w:r>
        <w:t xml:space="preserve"> "the disconnectome paper" and "Paper 2" refer to the same manuscript. This doc is the cover; </w:t>
      </w:r>
      <w:r>
        <w:rPr>
          <w:color w:val="1F4E79"/>
          <w:u w:val="single"/>
        </w:rPr>
        <w:t>paper2_disconnectome_outcomes.md</w:t>
      </w:r>
      <w:r>
        <w:t xml:space="preserve"> is the detailed planning artifact.</w:t>
      </w:r>
    </w:p>
    <w:p>
      <w:r>
        <w:rPr>
          <w:b/>
        </w:rPr>
        <w:t>As-of:</w:t>
      </w:r>
      <w:r>
        <w:t xml:space="preserve"> 2026-09-17. </w:t>
      </w:r>
      <w:r>
        <w:rPr>
          <w:b/>
        </w:rPr>
        <w:t>Author:</w:t>
      </w:r>
      <w:r>
        <w:t xml:space="preserve"> Phind Ndagijimana (with Claude planning assist).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this paper is</w:t>
      </w:r>
    </w:p>
    <w:p>
      <w:r>
        <w:t xml:space="preserve">A study asking whether </w:t>
      </w:r>
      <w:r>
        <w:rPr>
          <w:b/>
        </w:rPr>
        <w:t>patient-specific lesion-aware structural disconnection (SDC)</w:t>
      </w:r>
      <w:r>
        <w:t xml:space="preserve"> in traumatic brain injury (a) predicts functional connectivity disruption and behavioral outcome beyond lesion volume alone, and (b) captures clinically-relevant signal that widely-used normative-atlas SDC tools (LQT, BCBtoolkit) miss because of TBI's heterogeneous lesion morphology.</w:t>
      </w:r>
    </w:p>
    <w:p>
      <w:r>
        <w:t>The paper extends the *</w:t>
      </w:r>
      <w:r>
        <w:rPr>
          <w:i/>
        </w:rPr>
        <w:t xml:space="preserve">Griffis 2019 </w:t>
      </w:r>
      <w:r>
        <w:t>Cell Reports</w:t>
      </w:r>
      <w:r>
        <w:rPr>
          <w:i/>
        </w:rPr>
        <w:t xml:space="preserve"> SDC → FC → behavior framework</w:t>
      </w:r>
      <w:r>
        <w:rPr>
          <w:i/>
        </w:rPr>
        <w:t xml:space="preserve"> from ischemic stroke to TBI, adds a </w:t>
      </w:r>
      <w:r>
        <w:rPr>
          <w:i/>
        </w:rPr>
        <w:t>methodological head-to-head against normative-atlas SDC</w:t>
      </w:r>
      <w:r>
        <w:t>* that is specifically motivated by TBI's mass effect / oedema / bilateral injury, and lands at one of three candidate venues based on which contribution turns out quantitatively stronger:</w:t>
      </w:r>
    </w:p>
    <w:p>
      <w:pPr>
        <w:pStyle w:val="ListBullet"/>
      </w:pPr>
      <w:r>
        <w:rPr>
          <w:b/>
        </w:rPr>
        <w:t>NeuroImage</w:t>
      </w:r>
      <w:r>
        <w:t xml:space="preserve"> (methods-lead) — patient-specific vs normative-atlas SDC head-to-head</w:t>
      </w:r>
    </w:p>
    <w:p>
      <w:pPr>
        <w:pStyle w:val="ListBullet"/>
      </w:pPr>
      <w:r>
        <w:rPr>
          <w:b/>
        </w:rPr>
        <w:t>Brain</w:t>
      </w:r>
      <w:r>
        <w:t xml:space="preserve"> (biology-lead) — full SC → FC → behavior chain in TBI</w:t>
      </w:r>
    </w:p>
    <w:p>
      <w:pPr>
        <w:pStyle w:val="ListBullet"/>
      </w:pPr>
      <w:r>
        <w:rPr>
          <w:b/>
        </w:rPr>
        <w:t>Human Brain Mapping</w:t>
      </w:r>
      <w:r>
        <w:t xml:space="preserve"> (default) — coherent whole under either framing</w:t>
      </w:r>
    </w:p>
    <w:p>
      <w:pPr>
        <w:pStyle w:val="Heading2"/>
      </w:pPr>
      <w:r>
        <w:t>Status</w:t>
      </w:r>
    </w:p>
    <w:p>
      <w:r>
        <w:rPr>
          <w:b/>
        </w:rPr>
        <w:t>Conditional — un-pauses once complete-case N is confirmed.</w:t>
      </w:r>
      <w:r>
        <w:t xml:space="preserve"> PI has indicated GOSE + other clinical outcomes are available for the TBI cohort; rs-fMRI is present in TBI BIDS on both timepoints of the pilot (full cohort assumed to mirror). Awaiting:</w:t>
      </w:r>
    </w:p>
    <w:p>
      <w:pPr>
        <w:pStyle w:val="ListNumber"/>
      </w:pPr>
      <w:r>
        <w:t>TRACK-TBI clinical data-dictionary export</w:t>
      </w:r>
    </w:p>
    <w:p>
      <w:pPr>
        <w:pStyle w:val="ListNumber"/>
      </w:pPr>
      <w:r>
        <w:t>Complete-case count (proceed at N ≥ 45; limitations at 30–44; fold into Paper 1 at &lt; 30)</w:t>
      </w:r>
    </w:p>
    <w:p>
      <w:pPr>
        <w:pStyle w:val="ListNumber"/>
      </w:pPr>
      <w:r>
        <w:t xml:space="preserve">Analysis plan lock (see </w:t>
      </w:r>
      <w:r>
        <w:rPr>
          <w:color w:val="1F4E79"/>
          <w:u w:val="single"/>
        </w:rPr>
        <w:t>disconnectome_paper_analysis_plan.md</w:t>
      </w:r>
      <w:r>
        <w:t>)</w:t>
      </w:r>
    </w:p>
    <w:p>
      <w:pPr>
        <w:pStyle w:val="Heading2"/>
      </w:pPr>
      <w:r>
        <w:t>Documentation cluster</w:t>
      </w:r>
    </w:p>
    <w:p>
      <w:r>
        <w:t>The disconnectome paper is documented across the following files in this folder, listed by role:</w:t>
      </w:r>
    </w:p>
    <w:p>
      <w:pPr>
        <w:pStyle w:val="Heading3"/>
      </w:pPr>
      <w:r>
        <w:t>Planning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`disconnectome_paper.md`</w:t>
            </w:r>
            <w:r>
              <w:t xml:space="preserve"> (this file)</w:t>
            </w:r>
          </w:p>
        </w:tc>
        <w:tc>
          <w:tcPr>
            <w:tcW w:type="dxa" w:w="4824"/>
          </w:tcPr>
          <w:p>
            <w:r/>
            <w:r>
              <w:t>Cover + navigation + cross-tier paper matrix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`paper2_disconnectome_outcomes.md`</w:t>
            </w:r>
          </w:p>
        </w:tc>
        <w:tc>
          <w:tcPr>
            <w:tcW w:type="dxa" w:w="4824"/>
          </w:tcPr>
          <w:p>
            <w:r/>
            <w:r>
              <w:t>Full detailed planning: RQs, data-level ceiling, Griffis-2019 contribution breakdown, design decisions, complete-case spreadsheet template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`disconnectome_paper_analysis_plan.md`</w:t>
            </w:r>
          </w:p>
        </w:tc>
        <w:tc>
          <w:tcPr>
            <w:tcW w:type="dxa" w:w="4824"/>
          </w:tcPr>
          <w:p>
            <w:r/>
            <w:r>
              <w:t>Pre-registration doc — locked design choices with sign-off dates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`disconnectome_paper_manuscript_skeleton.md`</w:t>
            </w:r>
          </w:p>
        </w:tc>
        <w:tc>
          <w:tcPr>
            <w:tcW w:type="dxa" w:w="4824"/>
          </w:tcPr>
          <w:p>
            <w:r/>
            <w:r>
              <w:t>Section-by-section outline with word budgets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`disconnectome_paper_complete_case.md`</w:t>
            </w:r>
          </w:p>
        </w:tc>
        <w:tc>
          <w:tcPr>
            <w:tcW w:type="dxa" w:w="4824"/>
          </w:tcPr>
          <w:p>
            <w:r/>
            <w:r>
              <w:t>Subject-level data-tracking template (build as clinical export arrives)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`journal_tier.md`</w:t>
            </w:r>
            <w:r>
              <w:t xml:space="preserve"> / </w:t>
            </w:r>
            <w:r>
              <w:rPr>
                <w:color w:val="1F4E79"/>
                <w:u w:val="single"/>
              </w:rPr>
              <w:t>`.docx`</w:t>
            </w:r>
          </w:p>
        </w:tc>
        <w:tc>
          <w:tcPr>
            <w:tcW w:type="dxa" w:w="4824"/>
          </w:tcPr>
          <w:p>
            <w:r/>
            <w:r>
              <w:t>Full ten-venue landscape + per-venue framing + manuscript breakdowns</w:t>
            </w:r>
          </w:p>
        </w:tc>
      </w:tr>
    </w:tbl>
    <w:p/>
    <w:p>
      <w:pPr>
        <w:pStyle w:val="Heading3"/>
      </w:pPr>
      <w:r>
        <w:t>Prior-work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`LQT.md`</w:t>
            </w:r>
            <w:r>
              <w:t xml:space="preserve"> / </w:t>
            </w:r>
            <w:r>
              <w:rPr>
                <w:color w:val="1F4E79"/>
                <w:u w:val="single"/>
              </w:rPr>
              <w:t>`.docx`</w:t>
            </w:r>
          </w:p>
        </w:tc>
        <w:tc>
          <w:tcPr>
            <w:tcW w:type="dxa" w:w="4824"/>
          </w:tcPr>
          <w:p>
            <w:r/>
            <w:r>
              <w:t>Reference for LQT + normative-atlas SDC family (LQT / BCBtoolkit / NeMo) — our comparators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`Griffis_later.md`</w:t>
            </w:r>
            <w:r>
              <w:t xml:space="preserve"> / </w:t>
            </w:r>
            <w:r>
              <w:rPr>
                <w:color w:val="1F4E79"/>
                <w:u w:val="single"/>
              </w:rPr>
              <w:t>`.docx`</w:t>
            </w:r>
          </w:p>
        </w:tc>
        <w:tc>
          <w:tcPr>
            <w:tcW w:type="dxa" w:w="4824"/>
          </w:tcPr>
          <w:p>
            <w:r/>
            <w:r>
              <w:t>Follow-up literature (Salvalaggio, Talozzi, Kuceyeski, Boes, Fox) — our lineage + parallel lineage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`publication_strategy.md`</w:t>
            </w:r>
          </w:p>
        </w:tc>
        <w:tc>
          <w:tcPr>
            <w:tcW w:type="dxa" w:w="4824"/>
          </w:tcPr>
          <w:p>
            <w:r/>
            <w:r>
              <w:t>Cross-paper strategy (all four papers), prior-work analog table</w:t>
            </w:r>
          </w:p>
        </w:tc>
      </w:tr>
    </w:tbl>
    <w:p/>
    <w:p>
      <w:pPr>
        <w:pStyle w:val="Heading3"/>
      </w:pPr>
      <w:r>
        <w:t>Pipeline methods (docs level 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`../lesion_aware.md`</w:t>
            </w:r>
          </w:p>
        </w:tc>
        <w:tc>
          <w:tcPr>
            <w:tcW w:type="dxa" w:w="4824"/>
          </w:tcPr>
          <w:p>
            <w:r/>
            <w:r>
              <w:t>Lesion-aware ACT methodology + factorial design + LeAPP framework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`../disconnectome.md`</w:t>
            </w:r>
          </w:p>
        </w:tc>
        <w:tc>
          <w:tcPr>
            <w:tcW w:type="dxa" w:w="4824"/>
          </w:tcPr>
          <w:p>
            <w:r/>
            <w:r>
              <w:t>Step 4.1 methods (Options A/B/C spared connectomes + integrity QC)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`../methods/step3_1_lesion_act.md`</w:t>
            </w:r>
          </w:p>
        </w:tc>
        <w:tc>
          <w:tcPr>
            <w:tcW w:type="dxa" w:w="4824"/>
          </w:tcPr>
          <w:p>
            <w:r/>
            <w:r>
              <w:t>Step 3.1 lesion-aware tractography details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1F4E79"/>
                <w:u w:val="single"/>
              </w:rPr>
              <w:t>`../references.md`</w:t>
            </w:r>
          </w:p>
        </w:tc>
        <w:tc>
          <w:tcPr>
            <w:tcW w:type="dxa" w:w="4824"/>
          </w:tcPr>
          <w:p>
            <w:r/>
            <w:r>
              <w:t>Full pipeline bibliography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Cross-tier paper-citation matrix</w:t>
      </w:r>
    </w:p>
    <w:p>
      <w:r>
        <w:t>Papers that appear in multiple venue tiers — cite once, deploy at multiple levels. Rows are papers; columns are tiers where each paper is a primary citation. This answers the "papers that can be used for both tiers" question.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J Neurotrauma tier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Brain / HBM domain-specific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Brain / Neurology stretch (full chain)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NeuroImage methods-lead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Griffis 2019</w:t>
            </w:r>
            <w:r>
              <w:t xml:space="preserve"> </w:t>
            </w:r>
            <w:r>
              <w:rPr>
                <w:i/>
              </w:rPr>
              <w:t>Cell Rep</w:t>
            </w:r>
            <w:r>
              <w:t xml:space="preserve"> — SC→FC→behavior in stroke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The template</w:t>
            </w:r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The template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Corbetta 2015</w:t>
            </w:r>
            <w:r>
              <w:t xml:space="preserve"> </w:t>
            </w:r>
            <w:r>
              <w:rPr>
                <w:i/>
              </w:rPr>
              <w:t>Neuron</w:t>
            </w:r>
            <w:r>
              <w:t xml:space="preserve"> — WashU behavioral factor analysis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Behavioral framework</w:t>
            </w:r>
          </w:p>
        </w:tc>
        <w:tc>
          <w:tcPr>
            <w:tcW w:type="dxa" w:w="1930"/>
          </w:tcPr>
          <w:p>
            <w:r/>
            <w:r>
              <w:t>✅ Behavioral framework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Salvalaggio 2020</w:t>
            </w:r>
            <w:r>
              <w:t xml:space="preserve"> </w:t>
            </w:r>
            <w:r>
              <w:rPr>
                <w:i/>
              </w:rPr>
              <w:t>Brain</w:t>
            </w:r>
            <w:r>
              <w:t xml:space="preserve"> — multi-domain outcome + indirect FC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Multi-domain framework</w:t>
            </w:r>
          </w:p>
        </w:tc>
        <w:tc>
          <w:tcPr>
            <w:tcW w:type="dxa" w:w="1930"/>
          </w:tcPr>
          <w:p>
            <w:r/>
            <w:r>
              <w:t>✅ Combined SC+FC modeling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Talozzi 2023</w:t>
            </w:r>
            <w:r>
              <w:t xml:space="preserve"> </w:t>
            </w:r>
            <w:r>
              <w:rPr>
                <w:i/>
              </w:rPr>
              <w:t>Brain</w:t>
            </w:r>
            <w:r>
              <w:t xml:space="preserve"> — latent disconnectome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Methodological frontier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Boes 2015</w:t>
            </w:r>
            <w:r>
              <w:t xml:space="preserve"> </w:t>
            </w:r>
            <w:r>
              <w:rPr>
                <w:i/>
              </w:rPr>
              <w:t>Brain</w:t>
            </w:r>
            <w:r>
              <w:t xml:space="preserve"> — lesion network mapping (rs-fMRI-based)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Parallel lineage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Fox 2018</w:t>
            </w:r>
            <w:r>
              <w:t xml:space="preserve"> </w:t>
            </w:r>
            <w:r>
              <w:rPr>
                <w:i/>
              </w:rPr>
              <w:t>NEJM</w:t>
            </w:r>
            <w:r>
              <w:t xml:space="preserve"> — LNM paradigm review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High-visibility positioning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Bey 2024</w:t>
            </w:r>
            <w:r>
              <w:t xml:space="preserve"> (LeAPP) </w:t>
            </w:r>
            <w:r>
              <w:rPr>
                <w:i/>
              </w:rPr>
              <w:t>HBM</w:t>
            </w:r>
            <w:r>
              <w:t xml:space="preserve"> — factorial anatomy × ACT in stroke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HBM precedent for our family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Methodological ancestor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Palacios 2022</w:t>
            </w:r>
            <w:r>
              <w:t xml:space="preserve"> </w:t>
            </w:r>
            <w:r>
              <w:rPr>
                <w:i/>
              </w:rPr>
              <w:t>J Neurotrauma</w:t>
            </w:r>
            <w:r>
              <w:t xml:space="preserve"> — TRACK-TBI multisite DTI + GOSE</w:t>
            </w:r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Direct precedent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Warren 2015</w:t>
            </w:r>
            <w:r>
              <w:t xml:space="preserve"> </w:t>
            </w:r>
            <w:r>
              <w:rPr>
                <w:i/>
              </w:rPr>
              <w:t>Brain</w:t>
            </w:r>
            <w:r>
              <w:t xml:space="preserve"> — TBI graph metrics → cognition</w:t>
            </w:r>
          </w:p>
        </w:tc>
        <w:tc>
          <w:tcPr>
            <w:tcW w:type="dxa" w:w="1930"/>
          </w:tcPr>
          <w:p>
            <w:r/>
            <w:r>
              <w:t>✅ TBI classic</w:t>
            </w:r>
          </w:p>
        </w:tc>
        <w:tc>
          <w:tcPr>
            <w:tcW w:type="dxa" w:w="1930"/>
          </w:tcPr>
          <w:p>
            <w:r/>
            <w:r>
              <w:t>✅ TBI precedent for connectome-cognition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Kuceyeski 2020</w:t>
            </w:r>
            <w:r>
              <w:t xml:space="preserve"> </w:t>
            </w:r>
            <w:r>
              <w:rPr>
                <w:i/>
              </w:rPr>
              <w:t>HBM</w:t>
            </w:r>
            <w:r>
              <w:t xml:space="preserve"> — mTBI longitudinal</w:t>
            </w:r>
          </w:p>
        </w:tc>
        <w:tc>
          <w:tcPr>
            <w:tcW w:type="dxa" w:w="1930"/>
          </w:tcPr>
          <w:p>
            <w:r/>
            <w:r>
              <w:t>✅ Small-cohort TBI connectome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Kuceyeski 2013</w:t>
            </w:r>
            <w:r>
              <w:t xml:space="preserve"> </w:t>
            </w:r>
            <w:r>
              <w:rPr>
                <w:i/>
              </w:rPr>
              <w:t>Brain Connect</w:t>
            </w:r>
            <w:r>
              <w:t xml:space="preserve"> (NeMo tool)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Older normative-atlas tool; sensitivity comparator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Griffis 2021</w:t>
            </w:r>
            <w:r>
              <w:t xml:space="preserve"> </w:t>
            </w:r>
            <w:r>
              <w:rPr>
                <w:i/>
              </w:rPr>
              <w:t>NI:Clinical</w:t>
            </w:r>
            <w:r>
              <w:t xml:space="preserve"> (LQT release)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Primary comparator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Foulon 2018</w:t>
            </w:r>
            <w:r>
              <w:t xml:space="preserve"> </w:t>
            </w:r>
            <w:r>
              <w:rPr>
                <w:i/>
              </w:rPr>
              <w:t>GigaScience</w:t>
            </w:r>
            <w:r>
              <w:t xml:space="preserve"> (BCBtoolkit)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 xml:space="preserve">✅ </w:t>
            </w:r>
            <w:r>
              <w:rPr>
                <w:b/>
              </w:rPr>
              <w:t>Second comparator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Radwan 2023</w:t>
            </w:r>
            <w:r>
              <w:t xml:space="preserve"> </w:t>
            </w:r>
            <w:r>
              <w:rPr>
                <w:i/>
              </w:rPr>
              <w:t>NetNeuro</w:t>
            </w:r>
            <w:r>
              <w:t xml:space="preserve"> — TBI + VBG + ACT N=5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TBI patient-specific tractography precedent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Osmanlıoğlu 2022</w:t>
            </w:r>
            <w:r>
              <w:t xml:space="preserve"> </w:t>
            </w:r>
            <w:r>
              <w:rPr>
                <w:i/>
              </w:rPr>
              <w:t>HBM</w:t>
            </w:r>
            <w:r>
              <w:t xml:space="preserve"> — TBI longitudinal + cognition</w:t>
            </w:r>
          </w:p>
        </w:tc>
        <w:tc>
          <w:tcPr>
            <w:tcW w:type="dxa" w:w="1930"/>
          </w:tcPr>
          <w:p>
            <w:r/>
            <w:r>
              <w:t>✅ Backup TBI precedent</w:t>
            </w:r>
          </w:p>
        </w:tc>
        <w:tc>
          <w:tcPr>
            <w:tcW w:type="dxa" w:w="1930"/>
          </w:tcPr>
          <w:p>
            <w:r/>
            <w:r>
              <w:t>✅ Normative-score analog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Yeh 2018</w:t>
            </w:r>
            <w:r>
              <w:t xml:space="preserve"> </w:t>
            </w:r>
            <w:r>
              <w:rPr>
                <w:i/>
              </w:rPr>
              <w:t>NeuroImage</w:t>
            </w:r>
            <w:r>
              <w:t xml:space="preserve"> — HCP-842 tractogram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  <w:r>
              <w:t>✅ Methods (underpins LQT / NeMo)</w:t>
            </w:r>
          </w:p>
        </w:tc>
      </w:tr>
    </w:tbl>
    <w:p/>
    <w:p>
      <w:r>
        <w:rPr>
          <w:b/>
        </w:rPr>
        <w:t>Interpretation:</w:t>
      </w:r>
    </w:p>
    <w:p>
      <w:pPr>
        <w:pStyle w:val="ListBullet"/>
      </w:pPr>
      <w:r>
        <w:rPr>
          <w:b/>
        </w:rPr>
        <w:t>Cross-tier workhorses</w:t>
      </w:r>
      <w:r>
        <w:t xml:space="preserve"> (cited across 2+ primary tiers): Griffis 2019, Salvalaggio 2020, Corbetta 2015, Bey 2024, Warren 2015, Osmanlıoğlu 2022. These are the papers most worth deep familiarity — they anchor multiple parts of any Paper 2 submission.</w:t>
      </w:r>
    </w:p>
    <w:p>
      <w:pPr>
        <w:pStyle w:val="ListBullet"/>
      </w:pPr>
      <w:r>
        <w:rPr>
          <w:b/>
        </w:rPr>
        <w:t>Tier-specific anchors:</w:t>
      </w:r>
      <w:r>
        <w:t xml:space="preserve"> Palacios 2022 (J Neurotrauma only), LQT/BCB/NeMo (NeuroImage methods only), Boes/Fox (stretch tier only).</w:t>
      </w:r>
    </w:p>
    <w:p>
      <w:pPr>
        <w:pStyle w:val="ListBullet"/>
      </w:pPr>
      <w:r>
        <w:rPr>
          <w:b/>
        </w:rPr>
        <w:t>Contribution to novelty defense:</w:t>
      </w:r>
      <w:r>
        <w:t xml:space="preserve"> at any tier, the reviewer question is "how does this differ from [tier-appropriate anchor]?" The cross-tier matrix tells you which anchor to name for which submission.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Contribution summary</w:t>
      </w:r>
    </w:p>
    <w:p>
      <w:r>
        <w:t>Five contributions ranked by novelty and venue-unlock potential: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Contribution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Novelty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Reviewer defense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Venue tier it unlocks</w:t>
            </w:r>
          </w:p>
        </w:tc>
      </w:tr>
      <w:tr>
        <w:tc>
          <w:tcPr>
            <w:tcW w:type="dxa" w:w="2412"/>
          </w:tcPr>
          <w:p>
            <w:r/>
            <w:r>
              <w:t>SDC → FC coupling in TBI</w:t>
            </w:r>
          </w:p>
        </w:tc>
        <w:tc>
          <w:tcPr>
            <w:tcW w:type="dxa" w:w="2412"/>
          </w:tcPr>
          <w:p>
            <w:r/>
            <w:r>
              <w:t>Incremental (Griffis stroke → TBI extension)</w:t>
            </w:r>
          </w:p>
        </w:tc>
        <w:tc>
          <w:tcPr>
            <w:tcW w:type="dxa" w:w="2412"/>
          </w:tcPr>
          <w:p>
            <w:r/>
            <w:r>
              <w:t>CCA replicates in TBI</w:t>
            </w:r>
          </w:p>
        </w:tc>
        <w:tc>
          <w:tcPr>
            <w:tcW w:type="dxa" w:w="2412"/>
          </w:tcPr>
          <w:p>
            <w:r/>
            <w:r>
              <w:t>HBM</w:t>
            </w:r>
          </w:p>
        </w:tc>
      </w:tr>
      <w:tr>
        <w:tc>
          <w:tcPr>
            <w:tcW w:type="dxa" w:w="2412"/>
          </w:tcPr>
          <w:p>
            <w:r/>
            <w:r>
              <w:t>SDC → behavior domain-specific in TBI</w:t>
            </w:r>
          </w:p>
        </w:tc>
        <w:tc>
          <w:tcPr>
            <w:tcW w:type="dxa" w:w="2412"/>
          </w:tcPr>
          <w:p>
            <w:r/>
            <w:r>
              <w:t>Incremental (Griffis stroke → TBI extension)</w:t>
            </w:r>
          </w:p>
        </w:tc>
        <w:tc>
          <w:tcPr>
            <w:tcW w:type="dxa" w:w="2412"/>
          </w:tcPr>
          <w:p>
            <w:r/>
            <w:r>
              <w:t>Domain-network mapping holds</w:t>
            </w:r>
          </w:p>
        </w:tc>
        <w:tc>
          <w:tcPr>
            <w:tcW w:type="dxa" w:w="2412"/>
          </w:tcPr>
          <w:p>
            <w:r/>
            <w:r>
              <w:t>HBM / Brain</w:t>
            </w:r>
          </w:p>
        </w:tc>
      </w:tr>
      <w:tr>
        <w:tc>
          <w:tcPr>
            <w:tcW w:type="dxa" w:w="2412"/>
          </w:tcPr>
          <w:p>
            <w:r/>
            <w:r>
              <w:t>Incremental validity vs lesion volume in TBI</w:t>
            </w:r>
          </w:p>
        </w:tc>
        <w:tc>
          <w:tcPr>
            <w:tcW w:type="dxa" w:w="2412"/>
          </w:tcPr>
          <w:p>
            <w:r/>
            <w:r>
              <w:t>Incremental</w:t>
            </w:r>
          </w:p>
        </w:tc>
        <w:tc>
          <w:tcPr>
            <w:tcW w:type="dxa" w:w="2412"/>
          </w:tcPr>
          <w:p>
            <w:r/>
            <w:r>
              <w:t>ΔAUC / ΔR² above baseline</w:t>
            </w:r>
          </w:p>
        </w:tc>
        <w:tc>
          <w:tcPr>
            <w:tcW w:type="dxa" w:w="2412"/>
          </w:tcPr>
          <w:p>
            <w:r/>
            <w:r>
              <w:t>HBM / Brain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Patient-specific vs normative-atlas SDC head-to-head in TBI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Genuinely new</w:t>
            </w:r>
          </w:p>
        </w:tc>
        <w:tc>
          <w:tcPr>
            <w:tcW w:type="dxa" w:w="2412"/>
          </w:tcPr>
          <w:p>
            <w:r/>
            <w:r>
              <w:t>Divergence + clinical consequence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NeuroImage</w:t>
            </w:r>
          </w:p>
        </w:tc>
      </w:tr>
      <w:tr>
        <w:tc>
          <w:tcPr>
            <w:tcW w:type="dxa" w:w="2412"/>
          </w:tcPr>
          <w:p>
            <w:r/>
            <w:r>
              <w:t>Combined biology + methods story</w:t>
            </w:r>
          </w:p>
        </w:tc>
        <w:tc>
          <w:tcPr>
            <w:tcW w:type="dxa" w:w="2412"/>
          </w:tcPr>
          <w:p>
            <w:r/>
            <w:r>
              <w:t>Combined</w:t>
            </w:r>
          </w:p>
        </w:tc>
        <w:tc>
          <w:tcPr>
            <w:tcW w:type="dxa" w:w="2412"/>
          </w:tcPr>
          <w:p>
            <w:r/>
            <w:r>
              <w:t>Both cleanly delivered</w:t>
            </w:r>
          </w:p>
        </w:tc>
        <w:tc>
          <w:tcPr>
            <w:tcW w:type="dxa" w:w="2412"/>
          </w:tcPr>
          <w:p>
            <w:r/>
            <w:r>
              <w:t>Nature Comm (stretch, needs replication)</w:t>
            </w:r>
          </w:p>
        </w:tc>
      </w:tr>
    </w:tbl>
    <w:p/>
    <w:p>
      <w:r>
        <w:t xml:space="preserve">Full contribution reasoning in </w:t>
      </w:r>
      <w:r>
        <w:rPr>
          <w:color w:val="1F4E79"/>
          <w:u w:val="single"/>
        </w:rPr>
        <w:t>paper2_disconnectome_outcomes.md § Our contribution relative to Griffis 2019</w:t>
      </w:r>
      <w:r>
        <w:t>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Immediate next steps</w:t>
      </w:r>
    </w:p>
    <w:p>
      <w:pPr>
        <w:pStyle w:val="ListNumber"/>
      </w:pPr>
      <w:r>
        <w:rPr>
          <w:b/>
        </w:rPr>
        <w:t>Request TRACK-TBI clinical data dictionary</w:t>
      </w:r>
      <w:r>
        <w:t xml:space="preserve"> (see </w:t>
      </w:r>
      <w:r>
        <w:rPr>
          <w:color w:val="1F4E79"/>
          <w:u w:val="single"/>
        </w:rPr>
        <w:t>Appendix D in journal_tier.md</w:t>
      </w:r>
      <w:r>
        <w:t>)</w:t>
      </w:r>
    </w:p>
    <w:p>
      <w:pPr>
        <w:pStyle w:val="ListNumber"/>
      </w:pPr>
      <w:r>
        <w:rPr>
          <w:b/>
        </w:rPr>
        <w:t>Build complete-case tracker</w:t>
      </w:r>
      <w:r>
        <w:t xml:space="preserve"> (populate </w:t>
      </w:r>
      <w:r>
        <w:rPr>
          <w:color w:val="1F4E79"/>
          <w:u w:val="single"/>
        </w:rPr>
        <w:t>disconnectome_paper_complete_case.md</w:t>
      </w:r>
      <w:r>
        <w:t xml:space="preserve"> as data arrives)</w:t>
      </w:r>
    </w:p>
    <w:p>
      <w:pPr>
        <w:pStyle w:val="ListNumber"/>
      </w:pPr>
      <w:r>
        <w:rPr>
          <w:b/>
        </w:rPr>
        <w:t>Confirm rs-fMRI coverage</w:t>
      </w:r>
      <w:r>
        <w:t xml:space="preserve"> cohort-wide (pilot has it; verify full cohort mirrors)</w:t>
      </w:r>
    </w:p>
    <w:p>
      <w:pPr>
        <w:pStyle w:val="ListNumber"/>
      </w:pPr>
      <w:r>
        <w:rPr>
          <w:b/>
        </w:rPr>
        <w:t>Lock analysis plan</w:t>
      </w:r>
      <w:r>
        <w:t xml:space="preserve"> (</w:t>
      </w:r>
      <w:r>
        <w:rPr>
          <w:color w:val="1F4E79"/>
          <w:u w:val="single"/>
        </w:rPr>
        <w:t>disconnectome_paper_analysis_plan.md</w:t>
      </w:r>
      <w:r>
        <w:t>) before opening any group results</w:t>
      </w:r>
    </w:p>
    <w:p>
      <w:pPr>
        <w:pStyle w:val="ListNumber"/>
      </w:pPr>
      <w:r>
        <w:rPr>
          <w:b/>
        </w:rPr>
        <w:t>Build fMRI preprocessing arm</w:t>
      </w:r>
      <w:r>
        <w:t xml:space="preserve"> (fMRIPrep + XCP-D) into pipeline</w:t>
      </w:r>
    </w:p>
    <w:p>
      <w:pPr>
        <w:pStyle w:val="ListNumber"/>
      </w:pPr>
      <w:r>
        <w:rPr>
          <w:b/>
        </w:rPr>
        <w:t>Install LQT + BCBtoolkit</w:t>
      </w:r>
      <w:r>
        <w:t xml:space="preserve"> and prepare per-subject batch scripts</w:t>
      </w:r>
    </w:p>
    <w:p>
      <w:pPr>
        <w:pStyle w:val="ListNumber"/>
      </w:pPr>
      <w:r>
        <w:rPr>
          <w:b/>
        </w:rPr>
        <w:t>Add Schaefer / 4S parcellation</w:t>
      </w:r>
      <w:r>
        <w:t xml:space="preserve"> to Paper 2 subset for network-native analyses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`../papers/index.md`</w:t>
      </w:r>
      <w:r>
        <w:t xml:space="preserve"> — papers workspace landing page</w:t>
      </w:r>
    </w:p>
    <w:p>
      <w:pPr>
        <w:pStyle w:val="ListBullet"/>
      </w:pPr>
      <w:r>
        <w:rPr>
          <w:color w:val="1F4E79"/>
          <w:u w:val="single"/>
        </w:rPr>
        <w:t>`publication_strategy.md`</w:t>
      </w:r>
      <w:r>
        <w:t xml:space="preserve"> — full four-paper portfolio</w:t>
      </w:r>
    </w:p>
    <w:p>
      <w:pPr>
        <w:pStyle w:val="ListBullet"/>
      </w:pPr>
      <w:r>
        <w:rPr>
          <w:color w:val="1F4E79"/>
          <w:u w:val="single"/>
        </w:rPr>
        <w:t>`../TBI_Experimental_Arms.md`</w:t>
      </w:r>
      <w:r>
        <w:t xml:space="preserve"> — factorial design (Paper 1 context)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