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Disconnectome paper — complete-case tracking</w:t>
      </w:r>
    </w:p>
    <w:p>
      <w:r>
        <w:rPr>
          <w:b/>
        </w:rPr>
        <w:t>Purpose:</w:t>
      </w:r>
      <w:r>
        <w:t xml:space="preserve"> subject-level data-tracking template for Paper 2. Populate as the TrackTBI clinical export arrives and as cohort processing completes. Determines complete-case N, which drives the venue-decision rule per </w:t>
      </w:r>
      <w:r>
        <w:rPr>
          <w:color w:val="1F4E79"/>
          <w:u w:val="single"/>
        </w:rPr>
        <w:t>disconnectome_paper_analysis_plan.md § 8</w:t>
      </w:r>
      <w:r>
        <w:t>.</w:t>
      </w:r>
    </w:p>
    <w:p>
      <w:r>
        <w:rPr>
          <w:b/>
        </w:rPr>
        <w:t>Related:</w:t>
      </w:r>
      <w:r>
        <w:t xml:space="preserve"> </w:t>
      </w:r>
      <w:r>
        <w:rPr>
          <w:color w:val="1F4E79"/>
          <w:u w:val="single"/>
        </w:rPr>
        <w:t>disconnectome_paper.md</w:t>
      </w:r>
      <w:r>
        <w:t xml:space="preserve"> · </w:t>
      </w:r>
      <w:r>
        <w:rPr>
          <w:color w:val="1F4E79"/>
          <w:u w:val="single"/>
        </w:rPr>
        <w:t>disconnectome_paper_analysis_plan.md</w:t>
      </w:r>
    </w:p>
    <w:p>
      <w:r>
        <w:rPr>
          <w:b/>
        </w:rPr>
        <w:t>Status:</w:t>
      </w:r>
      <w:r>
        <w:t xml:space="preserve"> template — populate with actual cohort as data becomes available.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Assembly diagram (CONSORT-style — to be filled)</w:t>
      </w:r>
    </w:p>
    <w:p>
      <w:r>
        <w:rPr>
          <w:rFonts w:ascii="Consolas" w:hAnsi="Consolas"/>
          <w:sz w:val="18"/>
        </w:rPr>
        <w:t>TrackTBI-Sub subjects with lesion masks  ────────────────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T1w + DWI + ses-2WK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passing DWI + anat QC       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ran neurolit-lesion arm to completion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with completed connectome    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disconnection_matrix.csv (D &gt; 0 confirmed)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with computed disconnectome  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rs-fMRI at ses-2WK passing motion QC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with usable rs-fMRI          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6-month GOSE from clinical export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with GOSE at 6mo             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neuropsych battery at 6mo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Complete-case N for full-chain analyses  ────────  N = ______   ← primary N</w:t>
      </w:r>
    </w:p>
    <w:p>
      <w:r>
        <w:rPr>
          <w:rFonts w:ascii="Consolas" w:hAnsi="Consolas"/>
          <w:sz w:val="18"/>
        </w:rPr>
        <w:t xml:space="preserve">                                                         (Brain / Neurology stretch tier gate)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Sub-cohort: GOSE + covariates only (no fMRI/neuropsych required)  N = ______</w:t>
      </w:r>
    </w:p>
    <w:p>
      <w:r>
        <w:rPr>
          <w:rFonts w:ascii="Consolas" w:hAnsi="Consolas"/>
          <w:sz w:val="18"/>
        </w:rPr>
        <w:t xml:space="preserve">                                                         (J Neurotrauma / HBM tier gate)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Complete-case spreadsheet (populate)</w:t>
      </w:r>
    </w:p>
    <w:p>
      <w:r>
        <w:t>Columns for the working tracker. Rows added as data materializes.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  <w:gridCol w:w="386"/>
      </w:tblGrid>
      <w:tr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ses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lesion_mask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neurolit_lesion_done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disc_matrix_valid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rs_fMRI_2WK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rs_fMRI_QC_pass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GOSE_2WK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GOSE_3MO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GOSE_6MO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RPQ_6MO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trailmaking_A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trailmaking_B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WAIS_PSI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CVLT_II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BVMT_R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COWA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age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sex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education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GCS_admission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lesion_vol_mm3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site</w:t>
            </w:r>
          </w:p>
        </w:tc>
        <w:tc>
          <w:tcPr>
            <w:tcW w:type="dxa" w:w="386"/>
          </w:tcPr>
          <w:p>
            <w:r>
              <w:rPr>
                <w:b/>
              </w:rPr>
            </w:r>
            <w:r>
              <w:rPr>
                <w:b/>
              </w:rPr>
              <w:t>mechanism</w:t>
            </w:r>
          </w:p>
        </w:tc>
        <w:tc>
          <w:tcPr>
            <w:tcW w:type="dxa" w:w="386"/>
          </w:tcPr>
          <w:p/>
        </w:tc>
      </w:tr>
      <w:tr>
        <w:tc>
          <w:tcPr>
            <w:tcW w:type="dxa" w:w="386"/>
          </w:tcPr>
          <w:p>
            <w:r/>
            <w:r>
              <w:t>TBI011011</w:t>
            </w:r>
          </w:p>
        </w:tc>
        <w:tc>
          <w:tcPr>
            <w:tcW w:type="dxa" w:w="386"/>
          </w:tcPr>
          <w:p>
            <w:r/>
            <w:r>
              <w:t>2WK</w:t>
            </w:r>
          </w:p>
        </w:tc>
        <w:tc>
          <w:tcPr>
            <w:tcW w:type="dxa" w:w="386"/>
          </w:tcPr>
          <w:p>
            <w:r/>
            <w:r>
              <w:t>✅</w:t>
            </w:r>
          </w:p>
        </w:tc>
        <w:tc>
          <w:tcPr>
            <w:tcW w:type="dxa" w:w="386"/>
          </w:tcPr>
          <w:p>
            <w:r/>
            <w:r>
              <w:t>6-arm done</w:t>
            </w:r>
          </w:p>
        </w:tc>
        <w:tc>
          <w:tcPr>
            <w:tcW w:type="dxa" w:w="386"/>
          </w:tcPr>
          <w:p>
            <w:r/>
            <w:r>
              <w:t>✅</w:t>
            </w:r>
          </w:p>
        </w:tc>
        <w:tc>
          <w:tcPr>
            <w:tcW w:type="dxa" w:w="386"/>
          </w:tcPr>
          <w:p>
            <w:r/>
            <w:r>
              <w:t>✅</w:t>
            </w:r>
          </w:p>
        </w:tc>
        <w:tc>
          <w:tcPr>
            <w:tcW w:type="dxa" w:w="386"/>
          </w:tcPr>
          <w:p>
            <w:r/>
            <w:r>
              <w:t>pending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~18000</w:t>
            </w:r>
          </w:p>
        </w:tc>
        <w:tc>
          <w:tcPr>
            <w:tcW w:type="dxa" w:w="386"/>
          </w:tcPr>
          <w:p>
            <w:r/>
            <w:r>
              <w:t>URMC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/>
        </w:tc>
      </w:tr>
      <w:tr>
        <w:tc>
          <w:tcPr>
            <w:tcW w:type="dxa" w:w="386"/>
          </w:tcPr>
          <w:p>
            <w:r/>
            <w:r>
              <w:t>TBI011204</w:t>
            </w:r>
          </w:p>
        </w:tc>
        <w:tc>
          <w:tcPr>
            <w:tcW w:type="dxa" w:w="386"/>
          </w:tcPr>
          <w:p>
            <w:r/>
            <w:r>
              <w:t>2WK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pending</w:t>
            </w:r>
          </w:p>
        </w:tc>
        <w:tc>
          <w:tcPr>
            <w:tcW w:type="dxa" w:w="386"/>
          </w:tcPr>
          <w:p>
            <w:r/>
            <w:r>
              <w:t>pending</w:t>
            </w:r>
          </w:p>
        </w:tc>
        <w:tc>
          <w:tcPr>
            <w:tcW w:type="dxa" w:w="386"/>
          </w:tcPr>
          <w:p>
            <w:r/>
            <w:r>
              <w:t>✅</w:t>
            </w:r>
          </w:p>
        </w:tc>
        <w:tc>
          <w:tcPr>
            <w:tcW w:type="dxa" w:w="386"/>
          </w:tcPr>
          <w:p>
            <w:r/>
            <w:r>
              <w:t>pending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  <w:tc>
          <w:tcPr>
            <w:tcW w:type="dxa" w:w="386"/>
          </w:tcPr>
          <w:p>
            <w:r/>
            <w:r>
              <w:t>?</w:t>
            </w:r>
          </w:p>
        </w:tc>
      </w:tr>
      <w:tr>
        <w:tc>
          <w:tcPr>
            <w:tcW w:type="dxa" w:w="386"/>
          </w:tcPr>
          <w:p>
            <w:r/>
            <w:r>
              <w:t>...</w:t>
            </w:r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  <w:tc>
          <w:tcPr>
            <w:tcW w:type="dxa" w:w="386"/>
          </w:tcPr>
          <w:p>
            <w:r/>
          </w:p>
        </w:tc>
      </w:tr>
    </w:tbl>
    <w:p/>
    <w:p>
      <w:r>
        <w:rPr>
          <w:b/>
        </w:rPr>
        <w:t>Column definitions:</w:t>
      </w:r>
    </w:p>
    <w:p>
      <w:pPr>
        <w:pStyle w:val="ListBullet"/>
      </w:pPr>
      <w:r>
        <w:rPr>
          <w:b/>
        </w:rPr>
        <w:t>lesion_mask</w:t>
      </w:r>
      <w:r>
        <w:t xml:space="preserve"> — presence of clinician-traced </w:t>
      </w:r>
      <w:r>
        <w:rPr>
          <w:rFonts w:ascii="Consolas" w:hAnsi="Consolas"/>
          <w:sz w:val="20"/>
        </w:rPr>
        <w:t>_label-lesion_roi.nii.gz</w:t>
      </w:r>
      <w:r>
        <w:t xml:space="preserve"> in BIDS</w:t>
      </w:r>
    </w:p>
    <w:p>
      <w:pPr>
        <w:pStyle w:val="ListBullet"/>
      </w:pPr>
      <w:r>
        <w:rPr>
          <w:b/>
        </w:rPr>
        <w:t>neurolit_lesion_done</w:t>
      </w:r>
      <w:r>
        <w:t xml:space="preserve"> — completed </w:t>
      </w:r>
      <w:r>
        <w:rPr>
          <w:rFonts w:ascii="Consolas" w:hAnsi="Consolas"/>
          <w:sz w:val="20"/>
        </w:rPr>
        <w:t>neurolit-lesion</w:t>
      </w:r>
      <w:r>
        <w:t xml:space="preserve"> arm processing (marker files present at Steps 1.1 → 4.1)</w:t>
      </w:r>
    </w:p>
    <w:p>
      <w:pPr>
        <w:pStyle w:val="ListBullet"/>
      </w:pPr>
      <w:r>
        <w:rPr>
          <w:b/>
        </w:rPr>
        <w:t>disc_matrix_valid</w:t>
      </w:r>
      <w:r>
        <w:t xml:space="preserve"> — </w:t>
      </w:r>
      <w:r>
        <w:rPr>
          <w:rFonts w:ascii="Consolas" w:hAnsi="Consolas"/>
          <w:sz w:val="20"/>
        </w:rPr>
        <w:t>disconnection_matrix.csv</w:t>
      </w:r>
      <w:r>
        <w:t xml:space="preserve"> exists and passes integrity QC (Options A/B/C consistent, D &gt; 0 in expected regions)</w:t>
      </w:r>
    </w:p>
    <w:p>
      <w:pPr>
        <w:pStyle w:val="ListBullet"/>
      </w:pPr>
      <w:r>
        <w:rPr>
          <w:b/>
        </w:rPr>
        <w:t>rs_fMRI_2WK</w:t>
      </w:r>
      <w:r>
        <w:t xml:space="preserve"> — presence of </w:t>
      </w:r>
      <w:r>
        <w:rPr>
          <w:rFonts w:ascii="Consolas" w:hAnsi="Consolas"/>
          <w:sz w:val="20"/>
        </w:rPr>
        <w:t>_task-rest_bold.nii.gz</w:t>
      </w:r>
      <w:r>
        <w:t xml:space="preserve"> in </w:t>
      </w:r>
      <w:r>
        <w:rPr>
          <w:rFonts w:ascii="Consolas" w:hAnsi="Consolas"/>
          <w:sz w:val="20"/>
        </w:rPr>
        <w:t>func/</w:t>
      </w:r>
    </w:p>
    <w:p>
      <w:pPr>
        <w:pStyle w:val="ListBullet"/>
      </w:pPr>
      <w:r>
        <w:rPr>
          <w:b/>
        </w:rPr>
        <w:t>rs_fMRI_QC_pass</w:t>
      </w:r>
      <w:r>
        <w:t xml:space="preserve"> — passed fMRIPrep + XCP-D QC (mean FD, spike censoring criteria)</w:t>
      </w:r>
    </w:p>
    <w:p>
      <w:pPr>
        <w:pStyle w:val="ListBullet"/>
      </w:pPr>
      <w:r>
        <w:rPr>
          <w:b/>
        </w:rPr>
        <w:t>GOSE_2WK / _3MO / _6MO</w:t>
      </w:r>
      <w:r>
        <w:t xml:space="preserve"> — Glasgow Outcome Scale-Extended at each visit</w:t>
      </w:r>
    </w:p>
    <w:p>
      <w:pPr>
        <w:pStyle w:val="ListBullet"/>
      </w:pPr>
      <w:r>
        <w:rPr>
          <w:b/>
        </w:rPr>
        <w:t>RPQ_6MO</w:t>
      </w:r>
      <w:r>
        <w:t xml:space="preserve"> — Rivermead Post-Concussion Questionnaire at 6mo</w:t>
      </w:r>
    </w:p>
    <w:p>
      <w:pPr>
        <w:pStyle w:val="ListBullet"/>
      </w:pPr>
      <w:r>
        <w:rPr>
          <w:b/>
        </w:rPr>
        <w:t>trailmaking_A / _B, WAIS_PSI, CVLT_II, BVMT_R, COWA</w:t>
      </w:r>
      <w:r>
        <w:t xml:space="preserve"> — individual neuropsych test scores (raw or standardized — decide in analysis plan)</w:t>
      </w:r>
    </w:p>
    <w:p>
      <w:pPr>
        <w:pStyle w:val="ListBullet"/>
      </w:pPr>
      <w:r>
        <w:rPr>
          <w:b/>
        </w:rPr>
        <w:t>age, sex, education, GCS_admission</w:t>
      </w:r>
      <w:r>
        <w:t xml:space="preserve"> — mandatory covariates per analysis plan § 4</w:t>
      </w:r>
    </w:p>
    <w:p>
      <w:pPr>
        <w:pStyle w:val="ListBullet"/>
      </w:pPr>
      <w:r>
        <w:rPr>
          <w:b/>
        </w:rPr>
        <w:t>lesion_vol_mm3</w:t>
      </w:r>
      <w:r>
        <w:t xml:space="preserve"> — from </w:t>
      </w:r>
      <w:r>
        <w:rPr>
          <w:rFonts w:ascii="Consolas" w:hAnsi="Consolas"/>
          <w:sz w:val="20"/>
        </w:rPr>
        <w:t>lesion_roi_metrics.csv</w:t>
      </w:r>
    </w:p>
    <w:p>
      <w:pPr>
        <w:pStyle w:val="ListBullet"/>
      </w:pPr>
      <w:r>
        <w:rPr>
          <w:b/>
        </w:rPr>
        <w:t>site</w:t>
      </w:r>
      <w:r>
        <w:t xml:space="preserve"> — TrackTBI-Sub site (for multisite harmonization)</w:t>
      </w:r>
    </w:p>
    <w:p>
      <w:pPr>
        <w:pStyle w:val="ListBullet"/>
      </w:pPr>
      <w:r>
        <w:rPr>
          <w:b/>
        </w:rPr>
        <w:t>mechanism</w:t>
      </w:r>
      <w:r>
        <w:t xml:space="preserve"> — MVA / fall / assault / sports / other (descriptive)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CSV file (populate as data arrives)</w:t>
      </w:r>
    </w:p>
    <w:p>
      <w:r>
        <w:t xml:space="preserve">For programmatic use, mirror this template to </w:t>
      </w:r>
      <w:r>
        <w:rPr>
          <w:rFonts w:ascii="Consolas" w:hAnsi="Consolas"/>
          <w:sz w:val="20"/>
        </w:rPr>
        <w:t>paper2_complete_case.csv</w:t>
      </w:r>
      <w:r>
        <w:t xml:space="preserve"> in the same folder (git-ignore if it contains PHI) or in the analysis-code repo under </w:t>
      </w:r>
      <w:r>
        <w:rPr>
          <w:rFonts w:ascii="Consolas" w:hAnsi="Consolas"/>
          <w:sz w:val="20"/>
        </w:rPr>
        <w:t>paper2/data/</w:t>
      </w:r>
      <w:r>
        <w:t>.</w:t>
      </w:r>
    </w:p>
    <w:p>
      <w:r>
        <w:t>CSV columns (identical to table above):</w:t>
      </w:r>
    </w:p>
    <w:p>
      <w:r>
        <w:rPr>
          <w:rFonts w:ascii="Consolas" w:hAnsi="Consolas"/>
          <w:sz w:val="18"/>
        </w:rPr>
        <w:t>sub,ses,lesion_mask,neurolit_lesion_done,disc_matrix_valid,rs_fMRI_2WK,rs_fMRI_QC_pass,GOSE_2WK,GOSE_3MO,GOSE_6MO,RPQ_6MO,trailmaking_A,trailmaking_B,WAIS_PSI,CVLT_II,BVMT_R,COWA,age,sex,education,GCS_admission,lesion_vol_mm3,site,mechanism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Complete-case decision rule</w:t>
      </w:r>
    </w:p>
    <w:p>
      <w:r>
        <w:t>Once the spreadsheet is populated: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Complete-case N (has all: lesion, DWI, disc_matrix, rs-fMRI, GOSE, neuropsych, covariates)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≥ 60</w:t>
            </w:r>
          </w:p>
        </w:tc>
        <w:tc>
          <w:tcPr>
            <w:tcW w:type="dxa" w:w="4824"/>
          </w:tcPr>
          <w:p>
            <w:r/>
            <w:r>
              <w:t xml:space="preserve">Full Griffis SC → FC → behavior chain feasible → </w:t>
            </w:r>
            <w:r>
              <w:rPr>
                <w:b/>
              </w:rPr>
              <w:t>Brain / Neurology stretch tier</w:t>
            </w:r>
          </w:p>
        </w:tc>
      </w:tr>
      <w:tr>
        <w:tc>
          <w:tcPr>
            <w:tcW w:type="dxa" w:w="4824"/>
          </w:tcPr>
          <w:p>
            <w:r/>
            <w:r>
              <w:t>≥ 50</w:t>
            </w:r>
          </w:p>
        </w:tc>
        <w:tc>
          <w:tcPr>
            <w:tcW w:type="dxa" w:w="4824"/>
          </w:tcPr>
          <w:p>
            <w:r/>
            <w:r>
              <w:t xml:space="preserve">Domain-specific network story feasible → </w:t>
            </w:r>
            <w:r>
              <w:rPr>
                <w:b/>
              </w:rPr>
              <w:t>Brain / HBM in play</w:t>
            </w:r>
          </w:p>
        </w:tc>
      </w:tr>
      <w:tr>
        <w:tc>
          <w:tcPr>
            <w:tcW w:type="dxa" w:w="4824"/>
          </w:tcPr>
          <w:p>
            <w:r/>
            <w:r>
              <w:t>≥ 45</w:t>
            </w:r>
          </w:p>
        </w:tc>
        <w:tc>
          <w:tcPr>
            <w:tcW w:type="dxa" w:w="4824"/>
          </w:tcPr>
          <w:p>
            <w:r/>
            <w:r>
              <w:t>Proceed with Paper 2 as designed → un-pause and lock analysis plan</w:t>
            </w:r>
          </w:p>
        </w:tc>
      </w:tr>
      <w:tr>
        <w:tc>
          <w:tcPr>
            <w:tcW w:type="dxa" w:w="4824"/>
          </w:tcPr>
          <w:p>
            <w:r/>
            <w:r>
              <w:t>30–44</w:t>
            </w:r>
          </w:p>
        </w:tc>
        <w:tc>
          <w:tcPr>
            <w:tcW w:type="dxa" w:w="4824"/>
          </w:tcPr>
          <w:p>
            <w:r/>
            <w:r>
              <w:t>Proceed with limitations framing (smaller-cohort caveats)</w:t>
            </w:r>
          </w:p>
        </w:tc>
      </w:tr>
      <w:tr>
        <w:tc>
          <w:tcPr>
            <w:tcW w:type="dxa" w:w="4824"/>
          </w:tcPr>
          <w:p>
            <w:r/>
            <w:r>
              <w:t>&lt; 30</w:t>
            </w:r>
          </w:p>
        </w:tc>
        <w:tc>
          <w:tcPr>
            <w:tcW w:type="dxa" w:w="4824"/>
          </w:tcPr>
          <w:p>
            <w:r/>
            <w:r>
              <w:t>Fold disconnectome results into Paper 1 as one supplementary figure; do not submit Paper 2 as standalone</w:t>
            </w:r>
          </w:p>
        </w:tc>
      </w:tr>
    </w:tbl>
    <w:p/>
    <w:p>
      <w:r>
        <w:rPr>
          <w:b/>
        </w:rPr>
        <w:t>Parallel decision — methods-lead sub-cohort (LQT/BCB head-to-head only):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Complete-case N (has lesion mask + DWI + disc_matrix + LQT run + BCB run)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≥ 40</w:t>
            </w:r>
          </w:p>
        </w:tc>
        <w:tc>
          <w:tcPr>
            <w:tcW w:type="dxa" w:w="4824"/>
          </w:tcPr>
          <w:p>
            <w:r/>
            <w:r>
              <w:t>Methods head-to-head feasible → NeuroImage tier gate open</w:t>
            </w:r>
          </w:p>
        </w:tc>
      </w:tr>
      <w:tr>
        <w:tc>
          <w:tcPr>
            <w:tcW w:type="dxa" w:w="4824"/>
          </w:tcPr>
          <w:p>
            <w:r/>
            <w:r>
              <w:t>&lt; 40</w:t>
            </w:r>
          </w:p>
        </w:tc>
        <w:tc>
          <w:tcPr>
            <w:tcW w:type="dxa" w:w="4824"/>
          </w:tcPr>
          <w:p>
            <w:r/>
            <w:r>
              <w:t>Fold methods comparison into biology-lead paper as supplement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</w:t>
      </w:r>
    </w:p>
    <w:p>
      <w:pPr>
        <w:pStyle w:val="ListBullet"/>
      </w:pPr>
      <w:r>
        <w:rPr>
          <w:b/>
        </w:rPr>
        <w:t>PHI:</w:t>
      </w:r>
      <w:r>
        <w:t xml:space="preserve"> if this spreadsheet contains actual subject IDs and outcomes, git-ignore it and store in secure institutional storage.</w:t>
      </w:r>
    </w:p>
    <w:p>
      <w:pPr>
        <w:pStyle w:val="ListBullet"/>
      </w:pPr>
      <w:r>
        <w:rPr>
          <w:b/>
        </w:rPr>
        <w:t>Sharing:</w:t>
      </w:r>
      <w:r>
        <w:t xml:space="preserve"> aggregate statistics can be reported in the paper (Table 1 demographics) and in the CONSORT diagram; individual rows are not shared.</w:t>
      </w:r>
    </w:p>
    <w:p>
      <w:pPr>
        <w:pStyle w:val="ListBullet"/>
      </w:pPr>
      <w:r>
        <w:rPr>
          <w:b/>
        </w:rPr>
        <w:t>Data provenance:</w:t>
      </w:r>
      <w:r>
        <w:t xml:space="preserve"> for each cell, document the source (BIDS / clinical export CSV / pipeline output JSON) in a companion </w:t>
      </w:r>
      <w:r>
        <w:rPr>
          <w:rFonts w:ascii="Consolas" w:hAnsi="Consolas"/>
          <w:sz w:val="20"/>
        </w:rPr>
        <w:t>provenance.md</w:t>
      </w:r>
      <w:r>
        <w:t xml:space="preserve"> if needed.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