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Disconnectome paper — manuscript skeleton</w:t>
      </w:r>
    </w:p>
    <w:p>
      <w:r>
        <w:rPr>
          <w:b/>
        </w:rPr>
        <w:t>Purpose:</w:t>
      </w:r>
      <w:r>
        <w:t xml:space="preserve"> section-by-section writing template with word-count budgets. Fill in as writing progresses. Choose the appropriate framing (methods-lead / biology-lead / default) based on the venue-decision rule in </w:t>
      </w:r>
      <w:r>
        <w:rPr>
          <w:color w:val="1F4E79"/>
          <w:u w:val="single"/>
        </w:rPr>
        <w:t>disconnectome_paper_analysis_plan.md § 10</w:t>
      </w:r>
      <w:r>
        <w:t>.</w:t>
      </w:r>
    </w:p>
    <w:p>
      <w:r>
        <w:rPr>
          <w:b/>
        </w:rPr>
        <w:t>Related:</w:t>
      </w:r>
      <w:r>
        <w:t xml:space="preserve"> </w:t>
      </w:r>
      <w:r>
        <w:rPr>
          <w:color w:val="1F4E79"/>
          <w:u w:val="single"/>
        </w:rPr>
        <w:t>disconnectome_paper.md</w:t>
      </w:r>
      <w:r>
        <w:t xml:space="preserve"> · </w:t>
      </w:r>
      <w:r>
        <w:rPr>
          <w:color w:val="1F4E79"/>
          <w:u w:val="single"/>
        </w:rPr>
        <w:t>journal_tier.md — per-venue detailed breakdowns</w:t>
      </w:r>
    </w:p>
    <w:p>
      <w:r>
        <w:rPr>
          <w:b/>
        </w:rPr>
        <w:t>Status:</w:t>
      </w:r>
      <w:r>
        <w:t xml:space="preserve"> BLANK skeleton (fill as writing progresses).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Title</w:t>
      </w:r>
    </w:p>
    <w:p>
      <w:r>
        <w:rPr>
          <w:b/>
        </w:rPr>
        <w:t>Working title (methods-lead / NeuroImage):</w:t>
      </w:r>
    </w:p>
    <w:p>
      <w:pPr>
        <w:ind w:left="432"/>
      </w:pPr>
      <w:r>
        <w:rPr>
          <w:color w:val="999999"/>
        </w:rPr>
        <w:t xml:space="preserve">│  </w:t>
      </w:r>
      <w:r>
        <w:t>Patient-specific lesion-aware disconnectomes in traumatic brain injury: a head-to-head comparison with normative-atlas approaches and consequences for network-level outcome prediction.</w:t>
      </w:r>
    </w:p>
    <w:p>
      <w:r>
        <w:rPr>
          <w:b/>
        </w:rPr>
        <w:t>Working title (biology-lead / Brain):</w:t>
      </w:r>
    </w:p>
    <w:p>
      <w:pPr>
        <w:ind w:left="432"/>
      </w:pPr>
      <w:r>
        <w:rPr>
          <w:color w:val="999999"/>
        </w:rPr>
        <w:t xml:space="preserve">│  </w:t>
      </w:r>
      <w:r>
        <w:t>Structural disconnection mediates functional network dysfunction and predicts cognitive recovery after traumatic brain injury.</w:t>
      </w:r>
    </w:p>
    <w:p>
      <w:r>
        <w:rPr>
          <w:b/>
        </w:rPr>
        <w:t>Working title (HBM default):</w:t>
      </w:r>
    </w:p>
    <w:p>
      <w:pPr>
        <w:ind w:left="432"/>
      </w:pPr>
      <w:r>
        <w:rPr>
          <w:color w:val="999999"/>
        </w:rPr>
        <w:t xml:space="preserve">│  </w:t>
      </w:r>
      <w:r>
        <w:t>Lesion-aware structural disconnection and outcome after traumatic brain injury: a disconnectome study.</w:t>
      </w:r>
    </w:p>
    <w:p>
      <w:r>
        <w:rPr>
          <w:b/>
        </w:rPr>
        <w:t>Locked title:</w:t>
      </w:r>
      <w:r>
        <w:t xml:space="preserve"> ______________________________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Abstract (~250 words)</w:t>
      </w:r>
    </w:p>
    <w:p>
      <w:r>
        <w:rPr>
          <w:b/>
        </w:rPr>
        <w:t>Structure (all three framings):</w:t>
      </w:r>
    </w:p>
    <w:p>
      <w:pPr>
        <w:pStyle w:val="ListBullet"/>
      </w:pPr>
      <w:r>
        <w:t>Background (60–80 words): what problem, what's the current state (Griffis 2019 in stroke; LQT/BCB normative approach; TBI gap)</w:t>
      </w:r>
    </w:p>
    <w:p>
      <w:pPr>
        <w:pStyle w:val="ListBullet"/>
      </w:pPr>
      <w:r>
        <w:t>Methods (50–70 words): cohort, imaging arms, SDC computation, FC/behavior outcomes</w:t>
      </w:r>
    </w:p>
    <w:p>
      <w:pPr>
        <w:pStyle w:val="ListBullet"/>
      </w:pPr>
      <w:r>
        <w:t>Results (60–80 words): quantitative primary finding(s) with effect sizes and cross-validated statistics</w:t>
      </w:r>
    </w:p>
    <w:p>
      <w:pPr>
        <w:pStyle w:val="ListBullet"/>
      </w:pPr>
      <w:r>
        <w:t>Interpretation (40–60 words): what this changes about the field / clinical practice</w:t>
      </w:r>
    </w:p>
    <w:p>
      <w:r>
        <w:rPr>
          <w:b/>
        </w:rPr>
        <w:t>Framing-specific opening line:</w:t>
      </w:r>
    </w:p>
    <w:p>
      <w:pPr>
        <w:pStyle w:val="ListBullet"/>
      </w:pPr>
      <w:r>
        <w:t>NeuroImage: "Structural disconnection (SDC) is central to modeling network dysfunction after focal brain lesions, but the two dominant SDC pipelines — LQT and BCBtoolkit — assume patient anatomy conforms to a healthy normative template, an assumption strained in traumatic brain injury."</w:t>
      </w:r>
    </w:p>
    <w:p>
      <w:pPr>
        <w:pStyle w:val="ListBullet"/>
      </w:pPr>
      <w:r>
        <w:t>Brain: "Focal traumatic brain injury (TBI) produces cognitive and functional deficits that often exceed local damage; whether the Griffis-2019 structural-disconnection framework, which explained widespread network dysfunction in stroke, generalizes to TBI is unknown."</w:t>
      </w:r>
    </w:p>
    <w:p>
      <w:pPr>
        <w:pStyle w:val="ListBullet"/>
      </w:pPr>
      <w:r>
        <w:t>HBM: "Structural disconnection has emerged as a key mediator between focal brain lesions and network-level dysfunction; we characterize its prognostic and mechanistic value in a moderate-cohort traumatic brain injury sample."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Introduction (word budget: 1000 methods / 1200 biology / 800 HBM)</w:t>
      </w:r>
    </w:p>
    <w:p>
      <w:r>
        <w:rPr>
          <w:b/>
        </w:rPr>
        <w:t>Suggested paragraph structure:</w:t>
      </w:r>
    </w:p>
    <w:p>
      <w:pPr>
        <w:pStyle w:val="ListNumber"/>
      </w:pPr>
      <w:r>
        <w:rPr>
          <w:b/>
        </w:rPr>
        <w:t>Clinical framing</w:t>
      </w:r>
      <w:r>
        <w:t xml:space="preserve"> — TBI burden, focal-lesion subset, network-dysfunction problem</w:t>
      </w:r>
    </w:p>
    <w:p>
      <w:pPr>
        <w:pStyle w:val="ListNumber"/>
      </w:pPr>
      <w:r>
        <w:rPr>
          <w:b/>
        </w:rPr>
        <w:t>Griffis 2019 SDC → FC → behavior chain</w:t>
      </w:r>
      <w:r>
        <w:t xml:space="preserve"> — one paragraph summary, citing Corbetta 2015 for behavior</w:t>
      </w:r>
    </w:p>
    <w:p>
      <w:pPr>
        <w:pStyle w:val="ListNumber"/>
      </w:pPr>
      <w:r>
        <w:rPr>
          <w:b/>
        </w:rPr>
        <w:t>Current tools and their limits</w:t>
      </w:r>
      <w:r>
        <w:t xml:space="preserve"> — LQT / BCBtoolkit / NeMo overview; anatomy-template assumption</w:t>
      </w:r>
    </w:p>
    <w:p>
      <w:pPr>
        <w:pStyle w:val="ListNumber"/>
      </w:pPr>
      <w:r>
        <w:rPr>
          <w:b/>
        </w:rPr>
        <w:t>TBI vs stroke</w:t>
      </w:r>
      <w:r>
        <w:t xml:space="preserve"> — why the anatomy-template assumption is strained in TBI (mass effect, oedema, bilateral)</w:t>
      </w:r>
    </w:p>
    <w:p>
      <w:pPr>
        <w:pStyle w:val="ListNumber"/>
      </w:pPr>
      <w:r>
        <w:rPr>
          <w:b/>
        </w:rPr>
        <w:t>Our contribution</w:t>
      </w:r>
      <w:r>
        <w:t xml:space="preserve"> — one-sentence core claim (framing-dependent) + list of specific advances</w:t>
      </w:r>
    </w:p>
    <w:p>
      <w:pPr>
        <w:pStyle w:val="ListNumber"/>
      </w:pPr>
      <w:r>
        <w:rPr>
          <w:b/>
        </w:rPr>
        <w:t>Predictions and organization</w:t>
      </w:r>
      <w:r>
        <w:t xml:space="preserve"> — what we test, in what order</w:t>
      </w:r>
    </w:p>
    <w:p>
      <w:r>
        <w:rPr>
          <w:b/>
        </w:rPr>
        <w:t>Anchor citations by paragraph:</w:t>
      </w:r>
    </w:p>
    <w:p>
      <w:pPr>
        <w:pStyle w:val="ListBullet"/>
      </w:pPr>
      <w:r>
        <w:t>Paragraph 1: Palacios 2022, general TBI burden refs</w:t>
      </w:r>
    </w:p>
    <w:p>
      <w:pPr>
        <w:pStyle w:val="ListBullet"/>
      </w:pPr>
      <w:r>
        <w:t xml:space="preserve">Paragraph 2: </w:t>
      </w:r>
      <w:r>
        <w:rPr>
          <w:b/>
        </w:rPr>
        <w:t>Griffis 2019</w:t>
      </w:r>
      <w:r>
        <w:t xml:space="preserve"> (primary), Corbetta 2015 (behavior), Salvalaggio 2020 (extension)</w:t>
      </w:r>
    </w:p>
    <w:p>
      <w:pPr>
        <w:pStyle w:val="ListBullet"/>
      </w:pPr>
      <w:r>
        <w:t>Paragraph 3: Griffis 2021 (LQT), Foulon 2018 (BCBtoolkit), Kuceyeski 2013 (NeMo)</w:t>
      </w:r>
    </w:p>
    <w:p>
      <w:pPr>
        <w:pStyle w:val="ListBullet"/>
      </w:pPr>
      <w:r>
        <w:t>Paragraph 4: Warren 2015 (TBI graph metrics), general TBI heterogeneity refs</w:t>
      </w:r>
    </w:p>
    <w:p>
      <w:pPr>
        <w:pStyle w:val="ListBullet"/>
      </w:pPr>
      <w:r>
        <w:t>Paragraph 5: (framing-dependent) Radwan 2023 (patient-specific TBI precedent), Bey 2024 (LeAPP ancestor)</w:t>
      </w:r>
    </w:p>
    <w:p>
      <w:pPr>
        <w:pStyle w:val="ListBullet"/>
      </w:pPr>
      <w:r>
        <w:t>Paragraph 6: (self-referential)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Methods (word budget: ~2500)</w:t>
      </w:r>
    </w:p>
    <w:p>
      <w:r>
        <w:t>Sections in order:</w:t>
      </w:r>
    </w:p>
    <w:p>
      <w:pPr>
        <w:pStyle w:val="ListNumber"/>
      </w:pPr>
      <w:r>
        <w:rPr>
          <w:b/>
        </w:rPr>
        <w:t>Cohort</w:t>
      </w:r>
      <w:r>
        <w:t xml:space="preserve"> (~300 words) — TrackTBI subset, inclusion / exclusion, N, demographics summary</w:t>
      </w:r>
    </w:p>
    <w:p>
      <w:pPr>
        <w:pStyle w:val="ListNumber"/>
      </w:pPr>
      <w:r>
        <w:rPr>
          <w:b/>
        </w:rPr>
        <w:t>Imaging acquisition</w:t>
      </w:r>
      <w:r>
        <w:t xml:space="preserve"> (~250 words) — T1w, DWI (b-value, directions), rs-fMRI (TR, TE, duration, sessions)</w:t>
      </w:r>
    </w:p>
    <w:p>
      <w:pPr>
        <w:pStyle w:val="ListNumber"/>
      </w:pPr>
      <w:r>
        <w:rPr>
          <w:b/>
        </w:rPr>
        <w:t>Preprocessing</w:t>
      </w:r>
      <w:r>
        <w:t xml:space="preserve"> (~350 words) — QSIPrep for DWI; FastSurfer + FreeSurfer for anatomy; lesion mask registration; SDC pipeline (5ttedit -path, iFOD2, SIFT2, DKT parcellation); disconnection Options A/B/C</w:t>
      </w:r>
    </w:p>
    <w:p>
      <w:pPr>
        <w:pStyle w:val="ListNumber"/>
      </w:pPr>
      <w:r>
        <w:rPr>
          <w:b/>
        </w:rPr>
        <w:t>Normative-atlas SDC comparators</w:t>
      </w:r>
      <w:r>
        <w:t xml:space="preserve"> (~300 words) — LQT (Griffis 2021) parameter choices; BCBtoolkit (Foulon 2018) parameter choices; MNI normalization procedure</w:t>
      </w:r>
    </w:p>
    <w:p>
      <w:pPr>
        <w:pStyle w:val="ListNumber"/>
      </w:pPr>
      <w:r>
        <w:rPr>
          <w:b/>
        </w:rPr>
        <w:t>rs-fMRI processing</w:t>
      </w:r>
      <w:r>
        <w:t xml:space="preserve"> (~300 words, if applicable) — fMRIPrep + XCP-D, atlas parcellation, connectivity matrix construction, motion QC</w:t>
      </w:r>
    </w:p>
    <w:p>
      <w:pPr>
        <w:pStyle w:val="ListNumber"/>
      </w:pPr>
      <w:r>
        <w:rPr>
          <w:b/>
        </w:rPr>
        <w:t>Behavioral outcomes</w:t>
      </w:r>
      <w:r>
        <w:t xml:space="preserve"> (~200 words) — GOSE administration, neuropsych battery, factor construction, missing-data handling</w:t>
      </w:r>
    </w:p>
    <w:p>
      <w:pPr>
        <w:pStyle w:val="ListNumber"/>
      </w:pPr>
      <w:r>
        <w:rPr>
          <w:b/>
        </w:rPr>
        <w:t>Statistical models</w:t>
      </w:r>
      <w:r>
        <w:t xml:space="preserve"> (~500 words) — baseline regression, incremental-validity nested comparison, CCA (if biology framing), cross-validation, permutation testing, multiple-comparison correction</w:t>
      </w:r>
    </w:p>
    <w:p>
      <w:pPr>
        <w:pStyle w:val="ListNumber"/>
      </w:pPr>
      <w:r>
        <w:rPr>
          <w:b/>
        </w:rPr>
        <w:t>Software and reproducibility</w:t>
      </w:r>
      <w:r>
        <w:t xml:space="preserve"> (~200 words) — containers, DAG, provenance JSON, code repo URL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Results (word budget: 2000 methods / 2000 biology / 1600 HBM)</w:t>
      </w:r>
    </w:p>
    <w:p>
      <w:r>
        <w:t>Figures and tables (framing-specific — pick per venue decision):</w:t>
      </w:r>
    </w:p>
    <w:p>
      <w:pPr>
        <w:pStyle w:val="Heading3"/>
      </w:pPr>
      <w:r>
        <w:t>Methods-lead (NeuroImage)</w:t>
      </w:r>
    </w:p>
    <w:p>
      <w:pPr>
        <w:pStyle w:val="ListBullet"/>
      </w:pPr>
      <w:r>
        <w:rPr>
          <w:b/>
        </w:rPr>
        <w:t>Figure 1</w:t>
      </w:r>
      <w:r>
        <w:t xml:space="preserve"> — pipeline schematic (patient-specific vs LQT vs BCB)</w:t>
      </w:r>
    </w:p>
    <w:p>
      <w:pPr>
        <w:pStyle w:val="ListBullet"/>
      </w:pPr>
      <w:r>
        <w:rPr>
          <w:b/>
        </w:rPr>
        <w:t>Figure 2</w:t>
      </w:r>
      <w:r>
        <w:t xml:space="preserve"> — representative subject: lesion + patient-specific SDC + LQT SDC + BCB disconnection map side by side</w:t>
      </w:r>
    </w:p>
    <w:p>
      <w:pPr>
        <w:pStyle w:val="ListBullet"/>
      </w:pPr>
      <w:r>
        <w:rPr>
          <w:b/>
        </w:rPr>
        <w:t>Figure 3</w:t>
      </w:r>
      <w:r>
        <w:t xml:space="preserve"> — cohort-wide SDC concordance distribution (violin per method-pair) + scatter vs lesion volume / mass-effect</w:t>
      </w:r>
    </w:p>
    <w:p>
      <w:pPr>
        <w:pStyle w:val="ListBullet"/>
      </w:pPr>
      <w:r>
        <w:rPr>
          <w:b/>
        </w:rPr>
        <w:t>Figure 4</w:t>
      </w:r>
      <w:r>
        <w:t xml:space="preserve"> — FC-prediction ΔR² per SDC method + per network</w:t>
      </w:r>
    </w:p>
    <w:p>
      <w:pPr>
        <w:pStyle w:val="ListBullet"/>
      </w:pPr>
      <w:r>
        <w:rPr>
          <w:b/>
        </w:rPr>
        <w:t>Figure 5</w:t>
      </w:r>
      <w:r>
        <w:t xml:space="preserve"> — GOSE-prediction ROC / AUC per SDC method with lesion-volume baseline</w:t>
      </w:r>
    </w:p>
    <w:p>
      <w:pPr>
        <w:pStyle w:val="ListBullet"/>
      </w:pPr>
      <w:r>
        <w:rPr>
          <w:b/>
        </w:rPr>
        <w:t>Table 1</w:t>
      </w:r>
      <w:r>
        <w:t xml:space="preserve"> — SDC divergence stratified by lesion location (frontal / temporal / parietal / occipital / bilateral)</w:t>
      </w:r>
    </w:p>
    <w:p>
      <w:pPr>
        <w:pStyle w:val="ListBullet"/>
      </w:pPr>
      <w:r>
        <w:rPr>
          <w:b/>
        </w:rPr>
        <w:t>Table 2</w:t>
      </w:r>
      <w:r>
        <w:t xml:space="preserve"> — nested model comparison (baseline / +SDC / +SDC+FC) with cross-validated statistics</w:t>
      </w:r>
    </w:p>
    <w:p>
      <w:pPr>
        <w:pStyle w:val="Heading3"/>
      </w:pPr>
      <w:r>
        <w:t>Biology-lead (Brain)</w:t>
      </w:r>
    </w:p>
    <w:p>
      <w:pPr>
        <w:pStyle w:val="ListBullet"/>
      </w:pPr>
      <w:r>
        <w:rPr>
          <w:b/>
        </w:rPr>
        <w:t>Figure 1</w:t>
      </w:r>
      <w:r>
        <w:t xml:space="preserve"> — group-average disconnectome in MNI space (face validity)</w:t>
      </w:r>
    </w:p>
    <w:p>
      <w:pPr>
        <w:pStyle w:val="ListBullet"/>
      </w:pPr>
      <w:r>
        <w:rPr>
          <w:b/>
        </w:rPr>
        <w:t>Figure 2</w:t>
      </w:r>
      <w:r>
        <w:t xml:space="preserve"> — CCA first component: SDC loadings + FC loadings + subject-score scatter</w:t>
      </w:r>
    </w:p>
    <w:p>
      <w:pPr>
        <w:pStyle w:val="ListBullet"/>
      </w:pPr>
      <w:r>
        <w:rPr>
          <w:b/>
        </w:rPr>
        <w:t>Figure 3</w:t>
      </w:r>
      <w:r>
        <w:t xml:space="preserve"> — domain-specific network → cognitive-composite scatter grid (5 panels)</w:t>
      </w:r>
    </w:p>
    <w:p>
      <w:pPr>
        <w:pStyle w:val="ListBullet"/>
      </w:pPr>
      <w:r>
        <w:rPr>
          <w:b/>
        </w:rPr>
        <w:t>Figure 4</w:t>
      </w:r>
      <w:r>
        <w:t xml:space="preserve"> — GOSE prediction: baseline vs +SDC vs +SDC+FC ROC curves</w:t>
      </w:r>
    </w:p>
    <w:p>
      <w:pPr>
        <w:pStyle w:val="ListBullet"/>
      </w:pPr>
      <w:r>
        <w:rPr>
          <w:b/>
        </w:rPr>
        <w:t>Figure 5</w:t>
      </w:r>
      <w:r>
        <w:t xml:space="preserve"> — representative case series (mild / moderate / severe) with lesion + SDC + FC-abnormality + outcome</w:t>
      </w:r>
    </w:p>
    <w:p>
      <w:pPr>
        <w:pStyle w:val="ListBullet"/>
      </w:pPr>
      <w:r>
        <w:rPr>
          <w:b/>
        </w:rPr>
        <w:t>Table 1</w:t>
      </w:r>
      <w:r>
        <w:t xml:space="preserve"> — cohort demographics + clinical severity</w:t>
      </w:r>
    </w:p>
    <w:p>
      <w:pPr>
        <w:pStyle w:val="ListBullet"/>
      </w:pPr>
      <w:r>
        <w:rPr>
          <w:b/>
        </w:rPr>
        <w:t>Table 2</w:t>
      </w:r>
      <w:r>
        <w:t xml:space="preserve"> — nested model comparison</w:t>
      </w:r>
    </w:p>
    <w:p>
      <w:pPr>
        <w:pStyle w:val="ListBullet"/>
      </w:pPr>
      <w:r>
        <w:rPr>
          <w:b/>
        </w:rPr>
        <w:t>Table 3</w:t>
      </w:r>
      <w:r>
        <w:t xml:space="preserve"> — domain-network mapping table</w:t>
      </w:r>
    </w:p>
    <w:p>
      <w:pPr>
        <w:pStyle w:val="Heading3"/>
      </w:pPr>
      <w:r>
        <w:t>HBM default</w:t>
      </w:r>
    </w:p>
    <w:p>
      <w:pPr>
        <w:pStyle w:val="ListBullet"/>
      </w:pPr>
      <w:r>
        <w:rPr>
          <w:b/>
        </w:rPr>
        <w:t>Figure 1</w:t>
      </w:r>
      <w:r>
        <w:t xml:space="preserve"> — group-average disconnectome (from biology) or pipeline schematic (from methods)</w:t>
      </w:r>
    </w:p>
    <w:p>
      <w:pPr>
        <w:pStyle w:val="ListBullet"/>
      </w:pPr>
      <w:r>
        <w:rPr>
          <w:b/>
        </w:rPr>
        <w:t>Figure 2</w:t>
      </w:r>
      <w:r>
        <w:t xml:space="preserve"> — SC → outcome scatter or head-to-head divergence</w:t>
      </w:r>
    </w:p>
    <w:p>
      <w:pPr>
        <w:pStyle w:val="ListBullet"/>
      </w:pPr>
      <w:r>
        <w:rPr>
          <w:b/>
        </w:rPr>
        <w:t>Figure 3</w:t>
      </w:r>
      <w:r>
        <w:t xml:space="preserve"> — domain-specific or by-arm robustness</w:t>
      </w:r>
    </w:p>
    <w:p>
      <w:pPr>
        <w:pStyle w:val="ListBullet"/>
      </w:pPr>
      <w:r>
        <w:rPr>
          <w:b/>
        </w:rPr>
        <w:t>Figure 4</w:t>
      </w:r>
      <w:r>
        <w:t xml:space="preserve"> — representative case</w:t>
      </w:r>
    </w:p>
    <w:p>
      <w:pPr>
        <w:pStyle w:val="ListBullet"/>
      </w:pPr>
      <w:r>
        <w:rPr>
          <w:b/>
        </w:rPr>
        <w:t>Table 1</w:t>
      </w:r>
      <w:r>
        <w:t xml:space="preserve"> — demographics</w:t>
      </w:r>
    </w:p>
    <w:p>
      <w:pPr>
        <w:pStyle w:val="ListBullet"/>
      </w:pPr>
      <w:r>
        <w:rPr>
          <w:b/>
        </w:rPr>
        <w:t>Table 2</w:t>
      </w:r>
      <w:r>
        <w:t xml:space="preserve"> — model comparison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Discussion (word budget: 1500 methods / 1800 biology / 1200 HBM)</w:t>
      </w:r>
    </w:p>
    <w:p>
      <w:r>
        <w:t>Suggested paragraph structure:</w:t>
      </w:r>
    </w:p>
    <w:p>
      <w:pPr>
        <w:pStyle w:val="ListNumber"/>
      </w:pPr>
      <w:r>
        <w:rPr>
          <w:b/>
        </w:rPr>
        <w:t>Restate primary finding</w:t>
      </w:r>
      <w:r>
        <w:t xml:space="preserve"> with effect size</w:t>
      </w:r>
    </w:p>
    <w:p>
      <w:pPr>
        <w:pStyle w:val="ListNumber"/>
      </w:pPr>
      <w:r>
        <w:rPr>
          <w:b/>
        </w:rPr>
        <w:t>Comparison with Griffis 2019</w:t>
      </w:r>
      <w:r>
        <w:t xml:space="preserve"> — where the pattern generalizes from stroke to TBI; where it differs</w:t>
      </w:r>
    </w:p>
    <w:p>
      <w:pPr>
        <w:pStyle w:val="ListNumber"/>
      </w:pPr>
      <w:r>
        <w:rPr>
          <w:b/>
        </w:rPr>
        <w:t>Comparison with Salvalaggio 2020</w:t>
      </w:r>
      <w:r>
        <w:t xml:space="preserve"> — SC + FC combined modeling replication or contrast</w:t>
      </w:r>
    </w:p>
    <w:p>
      <w:pPr>
        <w:pStyle w:val="ListNumber"/>
      </w:pPr>
      <w:r>
        <w:rPr>
          <w:b/>
        </w:rPr>
        <w:t>Comparison with LQT / BCB normative-atlas approach</w:t>
      </w:r>
      <w:r>
        <w:t xml:space="preserve"> — where they agree, where they diverge, when to use each</w:t>
      </w:r>
    </w:p>
    <w:p>
      <w:pPr>
        <w:pStyle w:val="ListNumber"/>
      </w:pPr>
      <w:r>
        <w:rPr>
          <w:b/>
        </w:rPr>
        <w:t>Clinical implications</w:t>
      </w:r>
      <w:r>
        <w:t xml:space="preserve"> — prognostic biomarker use case; who benefits most from patient-specific processing</w:t>
      </w:r>
    </w:p>
    <w:p>
      <w:pPr>
        <w:pStyle w:val="ListNumber"/>
      </w:pPr>
      <w:r>
        <w:rPr>
          <w:b/>
        </w:rPr>
        <w:t>Limitations</w:t>
      </w:r>
      <w:r>
        <w:t xml:space="preserve"> — single-cohort, single-site (unless multisite), N, no external replication</w:t>
      </w:r>
    </w:p>
    <w:p>
      <w:pPr>
        <w:pStyle w:val="ListNumber"/>
      </w:pPr>
      <w:r>
        <w:rPr>
          <w:b/>
        </w:rPr>
        <w:t>Future directions</w:t>
      </w:r>
      <w:r>
        <w:t xml:space="preserve"> — replication cohort; expansion to Deep Atropos; longitudinal; synthetic-MRI for CT-only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and code availability</w:t>
      </w:r>
    </w:p>
    <w:p>
      <w:pPr>
        <w:pStyle w:val="ListBullet"/>
      </w:pPr>
      <w:r>
        <w:t>BIDS derivatives: ______ (Zenodo / OSF / institutional repo)</w:t>
      </w:r>
    </w:p>
    <w:p>
      <w:pPr>
        <w:pStyle w:val="ListBullet"/>
      </w:pPr>
      <w:r>
        <w:t xml:space="preserve">Containers: GHCR — </w:t>
      </w:r>
      <w:r>
        <w:rPr>
          <w:rFonts w:ascii="Consolas" w:hAnsi="Consolas"/>
          <w:sz w:val="20"/>
        </w:rPr>
        <w:t>ghcr.io/phindagijimana/dkt-connectome</w:t>
      </w:r>
      <w:r>
        <w:t xml:space="preserve">; DockerHub — </w:t>
      </w:r>
      <w:r>
        <w:rPr>
          <w:rFonts w:ascii="Consolas" w:hAnsi="Consolas"/>
          <w:sz w:val="20"/>
        </w:rPr>
        <w:t>phindagijimana/dkt-connectome</w:t>
      </w:r>
      <w:r>
        <w:t>; digest table in supplement</w:t>
      </w:r>
    </w:p>
    <w:p>
      <w:pPr>
        <w:pStyle w:val="ListBullet"/>
      </w:pPr>
      <w:r>
        <w:t xml:space="preserve">Code repo: </w:t>
      </w:r>
      <w:r>
        <w:rPr>
          <w:color w:val="1F4E79"/>
          <w:u w:val="single"/>
        </w:rPr>
        <w:t>https://github.com/phindagijimana/dkt_connectome</w:t>
      </w:r>
      <w:r>
        <w:t xml:space="preserve"> at tag ______</w:t>
      </w:r>
    </w:p>
    <w:p>
      <w:pPr>
        <w:pStyle w:val="ListBullet"/>
      </w:pPr>
      <w:r>
        <w:t xml:space="preserve">Analysis code (regression, CCA): repo </w:t>
      </w:r>
      <w:r>
        <w:rPr>
          <w:rFonts w:ascii="Consolas" w:hAnsi="Consolas"/>
          <w:sz w:val="20"/>
        </w:rPr>
        <w:t>paper2/</w:t>
      </w:r>
      <w:r>
        <w:t xml:space="preserve"> subdir at tag ______</w:t>
      </w:r>
    </w:p>
    <w:p>
      <w:pPr>
        <w:pStyle w:val="Heading2"/>
      </w:pPr>
      <w:r>
        <w:t>Author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</w:tr>
      <w:tr>
        <w:tc>
          <w:tcPr>
            <w:tcW w:type="dxa" w:w="4824"/>
          </w:tcPr>
          <w:p>
            <w:r/>
            <w:r>
              <w:t>Phind Ndagijimana</w:t>
            </w:r>
          </w:p>
        </w:tc>
        <w:tc>
          <w:tcPr>
            <w:tcW w:type="dxa" w:w="4824"/>
          </w:tcPr>
          <w:p>
            <w:r/>
            <w:r>
              <w:t>Pipeline development, data processing, analysis, drafting</w:t>
            </w:r>
          </w:p>
        </w:tc>
      </w:tr>
      <w:tr>
        <w:tc>
          <w:tcPr>
            <w:tcW w:type="dxa" w:w="4824"/>
          </w:tcPr>
          <w:p>
            <w:r/>
            <w:r>
              <w:t>PI</w:t>
            </w:r>
          </w:p>
        </w:tc>
        <w:tc>
          <w:tcPr>
            <w:tcW w:type="dxa" w:w="4824"/>
          </w:tcPr>
          <w:p>
            <w:r/>
            <w:r>
              <w:t>Study conception, cohort access, clinical interpretation, revisions</w:t>
            </w:r>
          </w:p>
        </w:tc>
      </w:tr>
      <w:tr>
        <w:tc>
          <w:tcPr>
            <w:tcW w:type="dxa" w:w="4824"/>
          </w:tcPr>
          <w:p>
            <w:r/>
            <w:r>
              <w:t>...</w:t>
            </w:r>
          </w:p>
        </w:tc>
        <w:tc>
          <w:tcPr>
            <w:tcW w:type="dxa" w:w="4824"/>
          </w:tcPr>
          <w:p>
            <w:r/>
            <w:r>
              <w:t>...</w:t>
            </w:r>
          </w:p>
        </w:tc>
      </w:tr>
    </w:tbl>
    <w:p/>
    <w:p>
      <w:pPr>
        <w:pStyle w:val="Heading2"/>
      </w:pPr>
      <w:r>
        <w:t>Acknowledgements</w:t>
      </w:r>
    </w:p>
    <w:p>
      <w:r>
        <w:t>Compute: URMC HPC (smdodwork01–05); TrackTBI investigators; data-contributing sites.</w:t>
      </w:r>
    </w:p>
    <w:p>
      <w:r>
        <w:t>Funding: ______</w:t>
      </w:r>
    </w:p>
    <w:p>
      <w:pPr>
        <w:pStyle w:val="Heading2"/>
      </w:pPr>
      <w:r>
        <w:t>Supplement</w:t>
      </w:r>
    </w:p>
    <w:p>
      <w:pPr>
        <w:pStyle w:val="ListBullet"/>
      </w:pPr>
      <w:r>
        <w:rPr>
          <w:b/>
        </w:rPr>
        <w:t>S1</w:t>
      </w:r>
      <w:r>
        <w:t xml:space="preserve"> — fMRI preprocessing details (fMRIPrep version, XCP-D pipeline, motion QC per subject)</w:t>
      </w:r>
    </w:p>
    <w:p>
      <w:pPr>
        <w:pStyle w:val="ListBullet"/>
      </w:pPr>
      <w:r>
        <w:rPr>
          <w:b/>
        </w:rPr>
        <w:t>S2</w:t>
      </w:r>
      <w:r>
        <w:t xml:space="preserve"> — LQT and BCBtoolkit parameter tables</w:t>
      </w:r>
    </w:p>
    <w:p>
      <w:pPr>
        <w:pStyle w:val="ListBullet"/>
      </w:pPr>
      <w:r>
        <w:rPr>
          <w:b/>
        </w:rPr>
        <w:t>S3</w:t>
      </w:r>
      <w:r>
        <w:t xml:space="preserve"> — Alternative-parcellation robustness (DKT vs Schaefer 200 vs 4S 156)</w:t>
      </w:r>
    </w:p>
    <w:p>
      <w:pPr>
        <w:pStyle w:val="ListBullet"/>
      </w:pPr>
      <w:r>
        <w:rPr>
          <w:b/>
        </w:rPr>
        <w:t>S4</w:t>
      </w:r>
      <w:r>
        <w:t xml:space="preserve"> — Alternative fixed-arm robustness (</w:t>
      </w:r>
      <w:r>
        <w:rPr>
          <w:rFonts w:ascii="Consolas" w:hAnsi="Consolas"/>
          <w:sz w:val="20"/>
        </w:rPr>
        <w:t>vbt-lesion</w:t>
      </w:r>
      <w:r>
        <w:t>)</w:t>
      </w:r>
    </w:p>
    <w:p>
      <w:pPr>
        <w:pStyle w:val="ListBullet"/>
      </w:pPr>
      <w:r>
        <w:rPr>
          <w:b/>
        </w:rPr>
        <w:t>S5</w:t>
      </w:r>
      <w:r>
        <w:t xml:space="preserve"> — Provenance JSON schema example + container digest table</w:t>
      </w:r>
    </w:p>
    <w:p>
      <w:pPr>
        <w:pStyle w:val="ListBullet"/>
      </w:pPr>
      <w:r>
        <w:rPr>
          <w:b/>
        </w:rPr>
        <w:t>S6</w:t>
      </w:r>
      <w:r>
        <w:t xml:space="preserve"> — Complete-case cohort assembly diagram (CONSORT-style)</w:t>
      </w:r>
    </w:p>
    <w:p>
      <w:pPr>
        <w:pStyle w:val="ListBullet"/>
      </w:pPr>
      <w:r>
        <w:rPr>
          <w:b/>
        </w:rPr>
        <w:t>S7</w:t>
      </w:r>
      <w:r>
        <w:t xml:space="preserve"> — Analysis plan pre-registration doc (from </w:t>
      </w:r>
      <w:r>
        <w:rPr>
          <w:rFonts w:ascii="Consolas" w:hAnsi="Consolas"/>
          <w:sz w:val="20"/>
        </w:rPr>
        <w:t>disconnectome_paper_analysis_plan.md</w:t>
      </w:r>
      <w:r>
        <w:t xml:space="preserve"> at sign-off)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Reference list</w:t>
      </w:r>
    </w:p>
    <w:p>
      <w:r>
        <w:t xml:space="preserve">Managed in Zotero / Mendeley / manual. Anchor references (see </w:t>
      </w:r>
      <w:r>
        <w:rPr>
          <w:color w:val="1F4E79"/>
          <w:u w:val="single"/>
        </w:rPr>
        <w:t>disconnectome_paper.md § Cross-tier paper-citation matrix</w:t>
      </w:r>
      <w:r>
        <w:t>):</w:t>
      </w:r>
    </w:p>
    <w:p>
      <w:pPr>
        <w:pStyle w:val="ListBullet"/>
      </w:pPr>
      <w:r>
        <w:t xml:space="preserve">Griffis 2019 </w:t>
      </w:r>
      <w:r>
        <w:rPr>
          <w:i/>
        </w:rPr>
        <w:t>Cell Reports</w:t>
      </w:r>
    </w:p>
    <w:p>
      <w:pPr>
        <w:pStyle w:val="ListBullet"/>
      </w:pPr>
      <w:r>
        <w:t xml:space="preserve">Griffis 2021 </w:t>
      </w:r>
      <w:r>
        <w:rPr>
          <w:i/>
        </w:rPr>
        <w:t>NeuroImage: Clinical</w:t>
      </w:r>
    </w:p>
    <w:p>
      <w:pPr>
        <w:pStyle w:val="ListBullet"/>
      </w:pPr>
      <w:r>
        <w:t xml:space="preserve">Salvalaggio 2020 </w:t>
      </w:r>
      <w:r>
        <w:rPr>
          <w:i/>
        </w:rPr>
        <w:t>Brain</w:t>
      </w:r>
    </w:p>
    <w:p>
      <w:pPr>
        <w:pStyle w:val="ListBullet"/>
      </w:pPr>
      <w:r>
        <w:t xml:space="preserve">Talozzi 2023 </w:t>
      </w:r>
      <w:r>
        <w:rPr>
          <w:i/>
        </w:rPr>
        <w:t>Brain</w:t>
      </w:r>
    </w:p>
    <w:p>
      <w:pPr>
        <w:pStyle w:val="ListBullet"/>
      </w:pPr>
      <w:r>
        <w:t xml:space="preserve">Foulon 2018 </w:t>
      </w:r>
      <w:r>
        <w:rPr>
          <w:i/>
        </w:rPr>
        <w:t>GigaScience</w:t>
      </w:r>
    </w:p>
    <w:p>
      <w:pPr>
        <w:pStyle w:val="ListBullet"/>
      </w:pPr>
      <w:r>
        <w:t xml:space="preserve">Kuceyeski 2013 </w:t>
      </w:r>
      <w:r>
        <w:rPr>
          <w:i/>
        </w:rPr>
        <w:t>Brain Connectivity</w:t>
      </w:r>
    </w:p>
    <w:p>
      <w:pPr>
        <w:pStyle w:val="ListBullet"/>
      </w:pPr>
      <w:r>
        <w:t xml:space="preserve">Kuceyeski 2020 </w:t>
      </w:r>
      <w:r>
        <w:rPr>
          <w:i/>
        </w:rPr>
        <w:t>Human Brain Mapping</w:t>
      </w:r>
    </w:p>
    <w:p>
      <w:pPr>
        <w:pStyle w:val="ListBullet"/>
      </w:pPr>
      <w:r>
        <w:t xml:space="preserve">Corbetta 2015 </w:t>
      </w:r>
      <w:r>
        <w:rPr>
          <w:i/>
        </w:rPr>
        <w:t>Neuron</w:t>
      </w:r>
    </w:p>
    <w:p>
      <w:pPr>
        <w:pStyle w:val="ListBullet"/>
      </w:pPr>
      <w:r>
        <w:t xml:space="preserve">Palacios 2022 </w:t>
      </w:r>
      <w:r>
        <w:rPr>
          <w:i/>
        </w:rPr>
        <w:t>Journal of Neurotrauma</w:t>
      </w:r>
    </w:p>
    <w:p>
      <w:pPr>
        <w:pStyle w:val="ListBullet"/>
      </w:pPr>
      <w:r>
        <w:t xml:space="preserve">Warren 2015 </w:t>
      </w:r>
      <w:r>
        <w:rPr>
          <w:i/>
        </w:rPr>
        <w:t>Brain</w:t>
      </w:r>
    </w:p>
    <w:p>
      <w:pPr>
        <w:pStyle w:val="ListBullet"/>
      </w:pPr>
      <w:r>
        <w:t xml:space="preserve">Bey 2024 </w:t>
      </w:r>
      <w:r>
        <w:rPr>
          <w:i/>
        </w:rPr>
        <w:t>Human Brain Mapping</w:t>
      </w:r>
    </w:p>
    <w:p>
      <w:pPr>
        <w:pStyle w:val="ListBullet"/>
      </w:pPr>
      <w:r>
        <w:t xml:space="preserve">Boes 2015 </w:t>
      </w:r>
      <w:r>
        <w:rPr>
          <w:i/>
        </w:rPr>
        <w:t>Brain</w:t>
      </w:r>
      <w:r>
        <w:t xml:space="preserve"> (if biology / stretch)</w:t>
      </w:r>
    </w:p>
    <w:p>
      <w:pPr>
        <w:pStyle w:val="ListBullet"/>
      </w:pPr>
      <w:r>
        <w:t xml:space="preserve">Fox 2018 </w:t>
      </w:r>
      <w:r>
        <w:rPr>
          <w:i/>
        </w:rPr>
        <w:t>NEJM</w:t>
      </w:r>
      <w:r>
        <w:t xml:space="preserve"> (if biology / stretch)</w:t>
      </w:r>
    </w:p>
    <w:p>
      <w:pPr>
        <w:pStyle w:val="ListBullet"/>
      </w:pPr>
      <w:r>
        <w:t xml:space="preserve">Osmanlıoğlu 2022 </w:t>
      </w:r>
      <w:r>
        <w:rPr>
          <w:i/>
        </w:rPr>
        <w:t>Human Brain Mapping</w:t>
      </w:r>
      <w:r>
        <w:t xml:space="preserve"> (backup)</w:t>
      </w:r>
    </w:p>
    <w:p>
      <w:pPr>
        <w:pStyle w:val="ListBullet"/>
      </w:pPr>
      <w:r>
        <w:t xml:space="preserve">Radwan 2023 </w:t>
      </w:r>
      <w:r>
        <w:rPr>
          <w:i/>
        </w:rPr>
        <w:t>Network Neuroscience</w:t>
      </w:r>
      <w:r>
        <w:t xml:space="preserve"> (methods lineage)</w:t>
      </w:r>
    </w:p>
    <w:p>
      <w:pPr>
        <w:pStyle w:val="ListBullet"/>
      </w:pPr>
      <w:r>
        <w:t xml:space="preserve">Yeh 2018 </w:t>
      </w:r>
      <w:r>
        <w:rPr>
          <w:i/>
        </w:rPr>
        <w:t>NeuroImage</w:t>
      </w:r>
      <w:r>
        <w:t xml:space="preserve"> (methods, HCP-842)</w:t>
      </w:r>
    </w:p>
    <w:p>
      <w:pPr>
        <w:pStyle w:val="ListBullet"/>
      </w:pPr>
      <w:r>
        <w:t xml:space="preserve">Pipeline citations: MRtrix, QSIPrep, QSIRecon, FastSurfer, FreeSurfer (see </w:t>
      </w:r>
      <w:r>
        <w:rPr>
          <w:rFonts w:ascii="Consolas" w:hAnsi="Consolas"/>
          <w:sz w:val="20"/>
        </w:rPr>
        <w:t>../references.md</w:t>
      </w:r>
      <w:r>
        <w:t>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