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 1 (factorial) — prior work map and novelty claims</w:t>
      </w:r>
    </w:p>
    <w:p>
      <w:r>
        <w:rPr>
          <w:b/>
        </w:rPr>
        <w:t>Purpose:</w:t>
      </w:r>
      <w:r>
        <w:t xml:space="preserve"> single reference for Introduction / Related work: what exists,</w:t>
      </w:r>
    </w:p>
    <w:p>
      <w:r>
        <w:t>what we extend, and what evidence must support each claim before submission.</w:t>
      </w:r>
    </w:p>
    <w:p>
      <w:r>
        <w:rPr>
          <w:b/>
        </w:rPr>
        <w:t>As-of:</w:t>
      </w:r>
      <w:r>
        <w:t xml:space="preserve"> 2026-10-07 · </w:t>
      </w:r>
      <w:r>
        <w:rPr>
          <w:b/>
        </w:rPr>
        <w:t>Status:</w:t>
      </w:r>
      <w:r>
        <w:t xml:space="preserve"> living doc — update when cohort analysis completes.</w:t>
      </w:r>
    </w:p>
    <w:p>
      <w:r>
        <w:rPr>
          <w:b/>
        </w:rPr>
        <w:t>Related:</w:t>
      </w:r>
      <w:r>
        <w:t xml:space="preserve"> index.md · leapp_lineage.md ·</w:t>
      </w:r>
    </w:p>
    <w:p>
      <w:r>
        <w:t>differentiation_from_leapp.md ·</w:t>
      </w:r>
    </w:p>
    <w:p>
      <w:r>
        <w:t>contribution_strategy.md ·</w:t>
      </w:r>
    </w:p>
    <w:p>
      <w:r>
        <w:t>../distance_novelty.md</w:t>
      </w:r>
    </w:p>
    <w:p/>
    <w:p>
      <w:pPr>
        <w:pStyle w:val="Heading2"/>
      </w:pPr>
      <w:r>
        <w:t>1. One-sentence positioning</w:t>
      </w:r>
    </w:p>
    <w:p>
      <w:r>
        <w:t xml:space="preserve">We extend </w:t>
      </w:r>
      <w:r>
        <w:rPr>
          <w:b/>
        </w:rPr>
        <w:t>LeAPP’s stroke factorial</w:t>
      </w:r>
      <w:r>
        <w:t xml:space="preserve"> (anatomy mitigation × lesion-aware ACT)</w:t>
      </w:r>
    </w:p>
    <w:p>
      <w:r>
        <w:t xml:space="preserve">to </w:t>
      </w:r>
      <w:r>
        <w:rPr>
          <w:b/>
        </w:rPr>
        <w:t>TBI</w:t>
      </w:r>
      <w:r>
        <w:t xml:space="preserve"> with a </w:t>
      </w:r>
      <w:r>
        <w:rPr>
          <w:b/>
        </w:rPr>
        <w:t>3×2 design</w:t>
      </w:r>
      <w:r>
        <w:t xml:space="preserve"> (original / neuroLIT / VBT × standard / lesion-aware ACT),</w:t>
      </w:r>
    </w:p>
    <w:p>
      <w:r>
        <w:t>cohort-scale reproducible infrastructure, and TBI-specific failure modes — a</w:t>
      </w:r>
    </w:p>
    <w:p>
      <w:r>
        <w:rPr>
          <w:b/>
        </w:rPr>
        <w:t>framework-extension</w:t>
      </w:r>
      <w:r>
        <w:t xml:space="preserve"> paper, not a new framework-formation.</w:t>
      </w:r>
    </w:p>
    <w:p/>
    <w:p>
      <w:pPr>
        <w:pStyle w:val="Heading2"/>
      </w:pPr>
      <w:r>
        <w:t>2. Prior work map (what exists)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 work</w:t>
            </w:r>
          </w:p>
        </w:tc>
        <w:tc>
          <w:tcPr>
            <w:tcW w:type="dxa" w:w="1728"/>
          </w:tcPr>
          <w:p>
            <w:r>
              <w:t>Population</w:t>
            </w:r>
          </w:p>
        </w:tc>
        <w:tc>
          <w:tcPr>
            <w:tcW w:type="dxa" w:w="1728"/>
          </w:tcPr>
          <w:p>
            <w:r>
              <w:t>Core method</w:t>
            </w:r>
          </w:p>
        </w:tc>
        <w:tc>
          <w:tcPr>
            <w:tcW w:type="dxa" w:w="1728"/>
          </w:tcPr>
          <w:p>
            <w:r>
              <w:t>Primary outcome / claim</w:t>
            </w:r>
          </w:p>
        </w:tc>
        <w:tc>
          <w:tcPr>
            <w:tcW w:type="dxa" w:w="1728"/>
          </w:tcPr>
          <w:p>
            <w:r>
              <w:t>Gap for TBI factorial</w:t>
            </w:r>
          </w:p>
        </w:tc>
      </w:tr>
      <w:tr>
        <w:tc>
          <w:tcPr>
            <w:tcW w:type="dxa" w:w="1728"/>
          </w:tcPr>
          <w:p>
            <w:r>
              <w:t>**Bey et al. 2024 LeAPP** (*HBM*)</w:t>
            </w:r>
          </w:p>
        </w:tc>
        <w:tc>
          <w:tcPr>
            <w:tcW w:type="dxa" w:w="1728"/>
          </w:tcPr>
          <w:p>
            <w:r>
              <w:t>Stroke</w:t>
            </w:r>
          </w:p>
        </w:tc>
        <w:tc>
          <w:tcPr>
            <w:tcW w:type="dxa" w:w="1728"/>
          </w:tcPr>
          <w:p>
            <w:r>
              <w:t>2×2 VBT × ACT; synthetic-lesion validation</w:t>
            </w:r>
          </w:p>
        </w:tc>
        <w:tc>
          <w:tcPr>
            <w:tcW w:type="dxa" w:w="1728"/>
          </w:tcPr>
          <w:p>
            <w:r>
              <w:t>Connectome sensitivity by arm</w:t>
            </w:r>
          </w:p>
        </w:tc>
        <w:tc>
          <w:tcPr>
            <w:tcW w:type="dxa" w:w="1728"/>
          </w:tcPr>
          <w:p>
            <w:r>
              <w:t>Stroke-centric; 2 anatomy backends; TBI morphology not primary</w:t>
            </w:r>
          </w:p>
        </w:tc>
      </w:tr>
      <w:tr>
        <w:tc>
          <w:tcPr>
            <w:tcW w:type="dxa" w:w="1728"/>
          </w:tcPr>
          <w:p>
            <w:r>
              <w:t>**Radwan et al. VBG**</w:t>
            </w:r>
          </w:p>
        </w:tc>
        <w:tc>
          <w:tcPr>
            <w:tcW w:type="dxa" w:w="1728"/>
          </w:tcPr>
          <w:p>
            <w:r>
              <w:t>Stroke</w:t>
            </w:r>
          </w:p>
        </w:tc>
        <w:tc>
          <w:tcPr>
            <w:tcW w:type="dxa" w:w="1728"/>
          </w:tcPr>
          <w:p>
            <w:r>
              <w:t>Virtual brain graft</w:t>
            </w:r>
          </w:p>
        </w:tc>
        <w:tc>
          <w:tcPr>
            <w:tcW w:type="dxa" w:w="1728"/>
          </w:tcPr>
          <w:p>
            <w:r>
              <w:t>Registration / segmentation</w:t>
            </w:r>
          </w:p>
        </w:tc>
        <w:tc>
          <w:tcPr>
            <w:tcW w:type="dxa" w:w="1728"/>
          </w:tcPr>
          <w:p>
            <w:r>
              <w:t>Single anatomy trick, not factorial with ACT</w:t>
            </w:r>
          </w:p>
        </w:tc>
      </w:tr>
      <w:tr>
        <w:tc>
          <w:tcPr>
            <w:tcW w:type="dxa" w:w="1728"/>
          </w:tcPr>
          <w:p>
            <w:r>
              <w:t>**Pollak et al. neuroLIT**</w:t>
            </w:r>
          </w:p>
        </w:tc>
        <w:tc>
          <w:tcPr>
            <w:tcW w:type="dxa" w:w="1728"/>
          </w:tcPr>
          <w:p>
            <w:r>
              <w:t>Stroke/TBI-adjacent</w:t>
            </w:r>
          </w:p>
        </w:tc>
        <w:tc>
          <w:tcPr>
            <w:tcW w:type="dxa" w:w="1728"/>
          </w:tcPr>
          <w:p>
            <w:r>
              <w:t>DL T1 inpainting</w:t>
            </w:r>
          </w:p>
        </w:tc>
        <w:tc>
          <w:tcPr>
            <w:tcW w:type="dxa" w:w="1728"/>
          </w:tcPr>
          <w:p>
            <w:r>
              <w:t>Segmentation / downstream SC</w:t>
            </w:r>
          </w:p>
        </w:tc>
        <w:tc>
          <w:tcPr>
            <w:tcW w:type="dxa" w:w="1728"/>
          </w:tcPr>
          <w:p>
            <w:r>
              <w:t>Not cohort factorial vs VBT/orig</w:t>
            </w:r>
          </w:p>
        </w:tc>
      </w:tr>
      <w:tr>
        <w:tc>
          <w:tcPr>
            <w:tcW w:type="dxa" w:w="1728"/>
          </w:tcPr>
          <w:p>
            <w:r>
              <w:t>**Smith et al. ACT / lesion-aware tractography**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Pathology in seeding</w:t>
            </w:r>
          </w:p>
        </w:tc>
        <w:tc>
          <w:tcPr>
            <w:tcW w:type="dxa" w:w="1728"/>
          </w:tcPr>
          <w:p>
            <w:r>
              <w:t>Streamline behavior near lesion</w:t>
            </w:r>
          </w:p>
        </w:tc>
        <w:tc>
          <w:tcPr>
            <w:tcW w:type="dxa" w:w="1728"/>
          </w:tcPr>
          <w:p>
            <w:r>
              <w:t>Not crossed with anatomy mitigation at scale</w:t>
            </w:r>
          </w:p>
        </w:tc>
      </w:tr>
      <w:tr>
        <w:tc>
          <w:tcPr>
            <w:tcW w:type="dxa" w:w="1728"/>
          </w:tcPr>
          <w:p>
            <w:r>
              <w:t>**Smith et al. / MRtrix ACT literature**</w:t>
            </w:r>
          </w:p>
        </w:tc>
        <w:tc>
          <w:tcPr>
            <w:tcW w:type="dxa" w:w="1728"/>
          </w:tcPr>
          <w:p>
            <w:r>
              <w:t>Healthy + lesion</w:t>
            </w:r>
          </w:p>
        </w:tc>
        <w:tc>
          <w:tcPr>
            <w:tcW w:type="dxa" w:w="1728"/>
          </w:tcPr>
          <w:p>
            <w:r>
              <w:t>5TT + ACT</w:t>
            </w:r>
          </w:p>
        </w:tc>
        <w:tc>
          <w:tcPr>
            <w:tcW w:type="dxa" w:w="1728"/>
          </w:tcPr>
          <w:p>
            <w:r>
              <w:t>Standard vs lesion ACT</w:t>
            </w:r>
          </w:p>
        </w:tc>
        <w:tc>
          <w:tcPr>
            <w:tcW w:type="dxa" w:w="1728"/>
          </w:tcPr>
          <w:p>
            <w:r>
              <w:t>LeAPP quantified; TBI 3-way anatomy not</w:t>
            </w:r>
          </w:p>
        </w:tc>
      </w:tr>
      <w:tr>
        <w:tc>
          <w:tcPr>
            <w:tcW w:type="dxa" w:w="1728"/>
          </w:tcPr>
          <w:p>
            <w:r>
              <w:t>**TRACK-TBI imaging** (Palacios 2022 etc.)</w:t>
            </w:r>
          </w:p>
        </w:tc>
        <w:tc>
          <w:tcPr>
            <w:tcW w:type="dxa" w:w="1728"/>
          </w:tcPr>
          <w:p>
            <w:r>
              <w:t>TBI</w:t>
            </w:r>
          </w:p>
        </w:tc>
        <w:tc>
          <w:tcPr>
            <w:tcW w:type="dxa" w:w="1728"/>
          </w:tcPr>
          <w:p>
            <w:r>
              <w:t>Standard DTI + GOSE</w:t>
            </w:r>
          </w:p>
        </w:tc>
        <w:tc>
          <w:tcPr>
            <w:tcW w:type="dxa" w:w="1728"/>
          </w:tcPr>
          <w:p>
            <w:r>
              <w:t>Outcome association</w:t>
            </w:r>
          </w:p>
        </w:tc>
        <w:tc>
          <w:tcPr>
            <w:tcW w:type="dxa" w:w="1728"/>
          </w:tcPr>
          <w:p>
            <w:r>
              <w:t>Not factorial preprocessing science</w:t>
            </w:r>
          </w:p>
        </w:tc>
      </w:tr>
      <w:tr>
        <w:tc>
          <w:tcPr>
            <w:tcW w:type="dxa" w:w="1728"/>
          </w:tcPr>
          <w:p>
            <w:r>
              <w:t>**ENIGMA Brain Injury** (Caeyenberghs 2024)</w:t>
            </w:r>
          </w:p>
        </w:tc>
        <w:tc>
          <w:tcPr>
            <w:tcW w:type="dxa" w:w="1728"/>
          </w:tcPr>
          <w:p>
            <w:r>
              <w:t>TBI</w:t>
            </w:r>
          </w:p>
        </w:tc>
        <w:tc>
          <w:tcPr>
            <w:tcW w:type="dxa" w:w="1728"/>
          </w:tcPr>
          <w:p>
            <w:r>
              <w:t>rs-fMRI practices review</w:t>
            </w:r>
          </w:p>
        </w:tc>
        <w:tc>
          <w:tcPr>
            <w:tcW w:type="dxa" w:w="1728"/>
          </w:tcPr>
          <w:p>
            <w:r>
              <w:t>Reproducibility guidance</w:t>
            </w:r>
          </w:p>
        </w:tc>
        <w:tc>
          <w:tcPr>
            <w:tcW w:type="dxa" w:w="1728"/>
          </w:tcPr>
          <w:p>
            <w:r>
              <w:t>No SC factorial</w:t>
            </w:r>
          </w:p>
        </w:tc>
      </w:tr>
    </w:tbl>
    <w:p/>
    <w:p>
      <w:r>
        <w:t>Deep summaries: leapp_lineage.md.</w:t>
      </w:r>
    </w:p>
    <w:p/>
    <w:p>
      <w:pPr>
        <w:pStyle w:val="Heading2"/>
      </w:pPr>
      <w:r>
        <w:t>3. Our claimed contributions (novelty axes)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Claim</w:t>
            </w:r>
          </w:p>
        </w:tc>
        <w:tc>
          <w:tcPr>
            <w:tcW w:type="dxa" w:w="1728"/>
          </w:tcPr>
          <w:p>
            <w:r>
              <w:t>Distance axis</w:t>
            </w:r>
          </w:p>
        </w:tc>
        <w:tc>
          <w:tcPr>
            <w:tcW w:type="dxa" w:w="1728"/>
          </w:tcPr>
          <w:p>
            <w:r>
              <w:t>Closest prior</w:t>
            </w:r>
          </w:p>
        </w:tc>
        <w:tc>
          <w:tcPr>
            <w:tcW w:type="dxa" w:w="1728"/>
          </w:tcPr>
          <w:p>
            <w:r>
              <w:t>Evidence required (not optional)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**First cohort-scale 3×2 factorial SC in TBI** (orig / neuroLIT / VBT × std / lesion ACT)</w:t>
            </w:r>
          </w:p>
        </w:tc>
        <w:tc>
          <w:tcPr>
            <w:tcW w:type="dxa" w:w="1728"/>
          </w:tcPr>
          <w:p>
            <w:r>
              <w:t>Population + method</w:t>
            </w:r>
          </w:p>
        </w:tc>
        <w:tc>
          <w:tcPr>
            <w:tcW w:type="dxa" w:w="1728"/>
          </w:tcPr>
          <w:p>
            <w:r>
              <w:t>LeAPP 2×2 stroke</w:t>
            </w:r>
          </w:p>
        </w:tc>
        <w:tc>
          <w:tcPr>
            <w:tcW w:type="dxa" w:w="1728"/>
          </w:tcPr>
          <w:p>
            <w:r>
              <w:t>N per arm ≥ prespecified threshold; QC-by-arm table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**neuroLIT as third anatomy backend** in factorial design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Pollak inpainting; LeAPP VBT only</w:t>
            </w:r>
          </w:p>
        </w:tc>
        <w:tc>
          <w:tcPr>
            <w:tcW w:type="dxa" w:w="1728"/>
          </w:tcPr>
          <w:p>
            <w:r>
              <w:t>Arm contrast effect sizes; failure modes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**TBI-specific preprocessing failures documented** (e.g. VBT + negative sform)</w:t>
            </w:r>
          </w:p>
        </w:tc>
        <w:tc>
          <w:tcPr>
            <w:tcW w:type="dxa" w:w="1728"/>
          </w:tcPr>
          <w:p>
            <w:r>
              <w:t>Method + infrastructure</w:t>
            </w:r>
          </w:p>
        </w:tc>
        <w:tc>
          <w:tcPr>
            <w:tcW w:type="dxa" w:w="1728"/>
          </w:tcPr>
          <w:p>
            <w:r>
              <w:t>LeAPP stroke assumptions</w:t>
            </w:r>
          </w:p>
        </w:tc>
        <w:tc>
          <w:tcPr>
            <w:tcW w:type="dxa" w:w="1728"/>
          </w:tcPr>
          <w:p>
            <w:r>
              <w:t>[vbt_orientation_finding.md](vbt_orientation_finding.md); supplement cases</w:t>
            </w:r>
          </w:p>
        </w:tc>
      </w:tr>
      <w:tr>
        <w:tc>
          <w:tcPr>
            <w:tcW w:type="dxa" w:w="1728"/>
          </w:tcPr>
          <w:p>
            <w:r>
              <w:t>C4</w:t>
            </w:r>
          </w:p>
        </w:tc>
        <w:tc>
          <w:tcPr>
            <w:tcW w:type="dxa" w:w="1728"/>
          </w:tcPr>
          <w:p>
            <w:r>
              <w:t>**Reproducible HPC stack** (Snakemake, containers, provenance JSON, BIDS arms)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LeAPP public repo (less container DAG depth)</w:t>
            </w:r>
          </w:p>
        </w:tc>
        <w:tc>
          <w:tcPr>
            <w:tcW w:type="dxa" w:w="1728"/>
          </w:tcPr>
          <w:p>
            <w:r>
              <w:t>Digest table; rerun from markers</w:t>
            </w:r>
          </w:p>
        </w:tc>
      </w:tr>
      <w:tr>
        <w:tc>
          <w:tcPr>
            <w:tcW w:type="dxa" w:w="1728"/>
          </w:tcPr>
          <w:p>
            <w:r>
              <w:t>C5</w:t>
            </w:r>
          </w:p>
        </w:tc>
        <w:tc>
          <w:tcPr>
            <w:tcW w:type="dxa" w:w="1728"/>
          </w:tcPr>
          <w:p>
            <w:r>
              <w:t>**Actionable guidance** (optional Tier 1: lesion-topology → recommended arm)</w:t>
            </w:r>
          </w:p>
        </w:tc>
        <w:tc>
          <w:tcPr>
            <w:tcW w:type="dxa" w:w="1728"/>
          </w:tcPr>
          <w:p>
            <w:r>
              <w:t>Interpretation</w:t>
            </w:r>
          </w:p>
        </w:tc>
        <w:tc>
          <w:tcPr>
            <w:tcW w:type="dxa" w:w="1728"/>
          </w:tcPr>
          <w:p>
            <w:r>
              <w:t>LeAPP sensitivity only</w:t>
            </w:r>
          </w:p>
        </w:tc>
        <w:tc>
          <w:tcPr>
            <w:tcW w:type="dxa" w:w="1728"/>
          </w:tcPr>
          <w:p>
            <w:r>
              <w:t>Decision tree validated on holdout subjects</w:t>
            </w:r>
          </w:p>
        </w:tc>
      </w:tr>
      <w:tr>
        <w:tc>
          <w:tcPr>
            <w:tcW w:type="dxa" w:w="1728"/>
          </w:tcPr>
          <w:p>
            <w:r>
              <w:t>C6</w:t>
            </w:r>
          </w:p>
        </w:tc>
        <w:tc>
          <w:tcPr>
            <w:tcW w:type="dxa" w:w="1728"/>
          </w:tcPr>
          <w:p>
            <w:r>
              <w:t>**BIDS / fmap repair at cohort scale** (Case-2 phasediff)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Ad hoc site fixes</w:t>
            </w:r>
          </w:p>
        </w:tc>
        <w:tc>
          <w:tcPr>
            <w:tcW w:type="dxa" w:w="1728"/>
          </w:tcPr>
          <w:p>
            <w:r>
              <w:t>[sidecar_repair_finding.md](sidecar_repair_finding.md)</w:t>
            </w:r>
          </w:p>
        </w:tc>
      </w:tr>
    </w:tbl>
    <w:p/>
    <w:p>
      <w:r>
        <w:t>Ranked enhancements beyond baseline four: differentiation_from_leapp.md.</w:t>
      </w:r>
    </w:p>
    <w:p/>
    <w:p>
      <w:pPr>
        <w:pStyle w:val="Heading2"/>
      </w:pPr>
      <w:r>
        <w:t>4. What we do not claim (avoid reviewer pushback)</w:t>
      </w:r>
    </w:p>
    <w:p>
      <w:pPr>
        <w:pStyle w:val="ListBullet"/>
      </w:pPr>
      <w:r>
        <w:t xml:space="preserve">A </w:t>
      </w:r>
      <w:r>
        <w:rPr>
          <w:b/>
        </w:rPr>
        <w:t>new tractography algorithm</w:t>
      </w:r>
      <w:r>
        <w:t xml:space="preserve"> (we compare preprocessing arms on shared QSIRecon/MRtrix stack).</w:t>
      </w:r>
    </w:p>
    <w:p>
      <w:pPr>
        <w:pStyle w:val="ListBullet"/>
      </w:pPr>
      <w:r>
        <w:rPr>
          <w:b/>
        </w:rPr>
        <w:t>Outcome prediction</w:t>
      </w:r>
      <w:r>
        <w:t xml:space="preserve"> as Paper 1 primary (belongs to Paper 2).</w:t>
      </w:r>
    </w:p>
    <w:p>
      <w:pPr>
        <w:pStyle w:val="ListBullet"/>
      </w:pPr>
      <w:r>
        <w:rPr>
          <w:b/>
        </w:rPr>
        <w:t>Superiority of one arm for all TBI</w:t>
      </w:r>
      <w:r>
        <w:t xml:space="preserve"> without lesion-stratified analysis (heterogeneity is the point).</w:t>
      </w:r>
    </w:p>
    <w:p>
      <w:pPr>
        <w:pStyle w:val="ListBullet"/>
      </w:pPr>
      <w:r>
        <w:t xml:space="preserve">Equivalence to </w:t>
      </w:r>
      <w:r>
        <w:rPr>
          <w:b/>
        </w:rPr>
        <w:t>LeAPP synthetic-lesion validation</w:t>
      </w:r>
      <w:r>
        <w:t xml:space="preserve"> unless Tier 0 synthetic work is executed (neuroimage_prerequisites.md).</w:t>
      </w:r>
    </w:p>
    <w:p/>
    <w:p>
      <w:pPr>
        <w:pStyle w:val="Heading2"/>
      </w:pPr>
      <w:r>
        <w:t>5. Validation checklist (contribution → result)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Claim</w:t>
            </w:r>
          </w:p>
        </w:tc>
        <w:tc>
          <w:tcPr>
            <w:tcW w:type="dxa" w:w="2880"/>
          </w:tcPr>
          <w:p>
            <w:r>
              <w:t>Analysis (see [analysis_plan.md](analysis_plan.md))</w:t>
            </w:r>
          </w:p>
        </w:tc>
        <w:tc>
          <w:tcPr>
            <w:tcW w:type="dxa" w:w="2880"/>
          </w:tcPr>
          <w:p>
            <w:r>
              <w:t>Pass criterion (draft)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Within-subject `*-std` vs `*-lesion`; 2×3 anatomy × ACT interaction</w:t>
            </w:r>
          </w:p>
        </w:tc>
        <w:tc>
          <w:tcPr>
            <w:tcW w:type="dxa" w:w="2880"/>
          </w:tcPr>
          <w:p>
            <w:r>
              <w:t>Pre-specified primary contrast significant with FDR; report effect size distribution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neuroLIT vs orig vs VBT holding ACT fixed</w:t>
            </w:r>
          </w:p>
        </w:tc>
        <w:tc>
          <w:tcPr>
            <w:tcW w:type="dxa" w:w="2880"/>
          </w:tcPr>
          <w:p>
            <w:r>
              <w:t>Non-trivial matrix delta vs orig; document inpaint QC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Case studies + cohort failure log</w:t>
            </w:r>
          </w:p>
        </w:tc>
        <w:tc>
          <w:tcPr>
            <w:tcW w:type="dxa" w:w="2880"/>
          </w:tcPr>
          <w:p>
            <w:r>
              <w:t>Publishable supplement figure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Completion tracker + container digests</w:t>
            </w:r>
          </w:p>
        </w:tc>
        <w:tc>
          <w:tcPr>
            <w:tcW w:type="dxa" w:w="2880"/>
          </w:tcPr>
          <w:p>
            <w:r>
              <w:t>≥80% completion in ≥4 arms at locked N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Topology-stratified arm recommendation</w:t>
            </w:r>
          </w:p>
        </w:tc>
        <w:tc>
          <w:tcPr>
            <w:tcW w:type="dxa" w:w="2880"/>
          </w:tcPr>
          <w:p>
            <w:r>
              <w:t>Δconnectome or downstream metric favors pre-specified arm in ≥2 strata</w:t>
            </w:r>
          </w:p>
        </w:tc>
      </w:tr>
    </w:tbl>
    <w:p/>
    <w:p>
      <w:r>
        <w:rPr>
          <w:b/>
        </w:rPr>
        <w:t>Novelty is not validated until this table has filled “Pass criterion” cells on real cohort data.</w:t>
      </w:r>
    </w:p>
    <w:p/>
    <w:p>
      <w:pPr>
        <w:pStyle w:val="Heading2"/>
      </w:pPr>
      <w:r>
        <w:t>6. Suggested Related work paragraph order (manuscript)</w:t>
      </w:r>
    </w:p>
    <w:p>
      <w:pPr>
        <w:pStyle w:val="ListNumber"/>
      </w:pPr>
      <w:r>
        <w:t>TBI + structural connectomics burden (Palacios, Warren).</w:t>
      </w:r>
    </w:p>
    <w:p>
      <w:pPr>
        <w:pStyle w:val="ListNumber"/>
      </w:pPr>
      <w:r>
        <w:t>Focal lesion breaks standard pipelines (registration, ACT).</w:t>
      </w:r>
    </w:p>
    <w:p>
      <w:pPr>
        <w:pStyle w:val="ListNumber"/>
      </w:pPr>
      <w:r>
        <w:t>LeAPP factorial in stroke (Bey 2024) — direct template.</w:t>
      </w:r>
    </w:p>
    <w:p>
      <w:pPr>
        <w:pStyle w:val="ListNumber"/>
      </w:pPr>
      <w:r>
        <w:t>Anatomy mitigations: VBG, neuroLIT.</w:t>
      </w:r>
    </w:p>
    <w:p>
      <w:pPr>
        <w:pStyle w:val="ListNumber"/>
      </w:pPr>
      <w:r>
        <w:t>Lesion-aware ACT (Smith / LeAPP).</w:t>
      </w:r>
    </w:p>
    <w:p>
      <w:pPr>
        <w:pStyle w:val="ListNumber"/>
      </w:pPr>
      <w:r>
        <w:rPr>
          <w:b/>
        </w:rPr>
        <w:t>Gap:</w:t>
      </w:r>
      <w:r>
        <w:t xml:space="preserve"> no TBI cohort factorial with neuroLIT + VBT + reproducible infra.</w:t>
      </w:r>
    </w:p>
    <w:p>
      <w:pPr>
        <w:pStyle w:val="ListNumber"/>
      </w:pPr>
      <w:r>
        <w:rPr>
          <w:b/>
        </w:rPr>
        <w:t>Our study</w:t>
      </w:r>
      <w:r>
        <w:t xml:space="preserve"> — six arms, pre-specified contrasts, QC-first reporting.</w:t>
      </w:r>
    </w:p>
    <w:p/>
    <w:p>
      <w:pPr>
        <w:pStyle w:val="Heading2"/>
      </w:pPr>
      <w:r>
        <w:t>7. Key citations (minimum set)</w:t>
      </w:r>
    </w:p>
    <w:p>
      <w:pPr>
        <w:pStyle w:val="ListBullet"/>
      </w:pPr>
      <w:r>
        <w:t xml:space="preserve">Bey T et al. 2024 LeAPP. </w:t>
      </w:r>
      <w:r>
        <w:rPr>
          <w:i/>
        </w:rPr>
        <w:t>Human Brain Mapping</w:t>
      </w:r>
      <w:r>
        <w:t>. doi:10.1002/hbm.26701</w:t>
      </w:r>
    </w:p>
    <w:p>
      <w:pPr>
        <w:pStyle w:val="ListBullet"/>
      </w:pPr>
      <w:r>
        <w:t>Pollak et al. neuroLIT (see pipeline refs).</w:t>
      </w:r>
    </w:p>
    <w:p>
      <w:pPr>
        <w:pStyle w:val="ListBullet"/>
      </w:pPr>
      <w:r>
        <w:t>Radwan VBG lineage (see leapp_lineage.md).</w:t>
      </w:r>
    </w:p>
    <w:p>
      <w:pPr>
        <w:pStyle w:val="ListBullet"/>
      </w:pPr>
      <w:r>
        <w:t xml:space="preserve">Palacios EM et al. 2022 TRACK-TBI DTI. </w:t>
      </w:r>
      <w:r>
        <w:rPr>
          <w:i/>
        </w:rPr>
        <w:t>J Neurotrauma</w:t>
      </w:r>
      <w:r>
        <w:t>.</w:t>
      </w:r>
    </w:p>
    <w:p>
      <w:pPr>
        <w:pStyle w:val="ListBullet"/>
      </w:pPr>
      <w:r>
        <w:t xml:space="preserve">Caeyenberghs K et al. 2024 ENIGMA Simple Seven. </w:t>
      </w:r>
      <w:r>
        <w:rPr>
          <w:i/>
        </w:rPr>
        <w:t>NeuroImage: Clinical</w:t>
      </w:r>
      <w:r>
        <w:t>.</w:t>
      </w:r>
    </w:p>
    <w:p>
      <w:r>
        <w:t>Full bibliography: ../../references.md.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