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analysis plan (pre-registration template)</w:t>
      </w:r>
    </w:p>
    <w:p>
      <w:r>
        <w:rPr>
          <w:b/>
        </w:rPr>
        <w:t>Purpose:</w:t>
      </w:r>
      <w:r>
        <w:t xml:space="preserve"> locked imaging-only design. </w:t>
      </w:r>
      <w:r>
        <w:rPr>
          <w:b/>
        </w:rPr>
        <w:t>No clinical outcomes.</w:t>
      </w:r>
      <w:r>
        <w:t xml:space="preserve"> Sign before</w:t>
      </w:r>
    </w:p>
    <w:p>
      <w:r>
        <w:t>opening cohort-level tests on RQ1–RQ3.</w:t>
      </w:r>
    </w:p>
    <w:p>
      <w:r>
        <w:rPr>
          <w:b/>
        </w:rPr>
        <w:t>Related:</w:t>
      </w:r>
      <w:r>
        <w:t xml:space="preserve"> planning.md · ../disconnectome/analysis_plan.md (Paper 2 — do not mix GOSE sections)</w:t>
      </w:r>
    </w:p>
    <w:p>
      <w:r>
        <w:rPr>
          <w:b/>
        </w:rPr>
        <w:t>Status:</w:t>
      </w:r>
      <w:r>
        <w:t xml:space="preserve"> DRAFT — not yet signed off.</w:t>
      </w:r>
    </w:p>
    <w:p/>
    <w:p>
      <w:pPr>
        <w:pStyle w:val="Heading2"/>
      </w:pPr>
      <w:r>
        <w:t>Sign-off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</w:tr>
      <w:tr>
        <w:tc>
          <w:tcPr>
            <w:tcW w:type="dxa" w:w="2160"/>
          </w:tcPr>
          <w:p>
            <w:r>
              <w:t>_____</w:t>
            </w:r>
          </w:p>
        </w:tc>
        <w:tc>
          <w:tcPr>
            <w:tcW w:type="dxa" w:w="2160"/>
          </w:tcPr>
          <w:p>
            <w:r>
              <w:t>PI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_____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</w:tbl>
    <w:p/>
    <w:p>
      <w:r>
        <w:rPr>
          <w:b/>
        </w:rPr>
        <w:t>Amendments: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</w:tbl>
    <w:p/>
    <w:p/>
    <w:p>
      <w:pPr>
        <w:pStyle w:val="Heading2"/>
      </w:pPr>
      <w:r>
        <w:t>1. Fixed DWI arm</w:t>
      </w:r>
    </w:p>
    <w:p>
      <w:pPr>
        <w:pStyle w:val="ListBullet"/>
      </w:pPr>
      <w:r>
        <w:rPr>
          <w:b/>
        </w:rPr>
        <w:t>Default:</w:t>
      </w:r>
      <w:r>
        <w:t xml:space="preserve"> </w:t>
      </w:r>
      <w:r>
        <w:rPr>
          <w:rFonts w:ascii="Courier New" w:hAnsi="Courier New"/>
        </w:rPr>
        <w:t>neurolit-lesion</w:t>
      </w:r>
      <w:r>
        <w:t xml:space="preserve"> under </w:t>
      </w:r>
      <w:r>
        <w:rPr>
          <w:rFonts w:ascii="Courier New" w:hAnsi="Courier New"/>
        </w:rPr>
        <w:t>validation_v030/arms/neurolit-lesion/connectomes/</w:t>
      </w:r>
    </w:p>
    <w:p>
      <w:pPr>
        <w:pStyle w:val="ListBullet"/>
      </w:pPr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2. Fixed imaging visit</w:t>
      </w:r>
    </w:p>
    <w:p>
      <w:pPr>
        <w:pStyle w:val="ListBullet"/>
      </w:pPr>
      <w:r>
        <w:rPr>
          <w:b/>
        </w:rPr>
        <w:t>Default:</w:t>
      </w:r>
      <w:r>
        <w:t xml:space="preserve"> </w:t>
      </w:r>
      <w:r>
        <w:rPr>
          <w:rFonts w:ascii="Courier New" w:hAnsi="Courier New"/>
        </w:rPr>
        <w:t>ses-2WK</w:t>
      </w:r>
      <w:r>
        <w:t xml:space="preserve"> (DWI + rs-fMRI)</w:t>
      </w:r>
    </w:p>
    <w:p>
      <w:pPr>
        <w:pStyle w:val="ListBullet"/>
      </w:pPr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3. Structural disconnection (Arm A)</w:t>
      </w:r>
    </w:p>
    <w:p>
      <w:pPr>
        <w:pStyle w:val="ListBullet"/>
      </w:pPr>
      <w:r>
        <w:rPr>
          <w:b/>
        </w:rPr>
        <w:t>Source:</w:t>
      </w:r>
      <w:r>
        <w:t xml:space="preserve"> </w:t>
      </w:r>
      <w:r>
        <w:rPr>
          <w:rFonts w:ascii="Courier New" w:hAnsi="Courier New"/>
        </w:rPr>
        <w:t>sub-*/disconnectome/disconnection_matrix.csv</w:t>
      </w:r>
      <w:r>
        <w:t xml:space="preserve"> (78 × 78, comma-separated)</w:t>
      </w:r>
    </w:p>
    <w:p>
      <w:pPr>
        <w:pStyle w:val="ListBullet"/>
      </w:pPr>
      <w:r>
        <w:rPr>
          <w:b/>
        </w:rPr>
        <w:t>Document:</w:t>
      </w:r>
      <w:r>
        <w:t xml:space="preserve"> </w:t>
      </w:r>
      <w:r>
        <w:rPr>
          <w:rFonts w:ascii="Courier New" w:hAnsi="Courier New"/>
        </w:rPr>
        <w:t>disconnectome.json</w:t>
      </w:r>
      <w:r>
        <w:t xml:space="preserve"> → </w:t>
      </w:r>
      <w:r>
        <w:rPr>
          <w:rFonts w:ascii="Courier New" w:hAnsi="Courier New"/>
        </w:rPr>
        <w:t>disconnection_spared</w:t>
      </w:r>
      <w:r>
        <w:t xml:space="preserve"> option</w:t>
      </w:r>
    </w:p>
    <w:p>
      <w:pPr>
        <w:pStyle w:val="ListBullet"/>
      </w:pPr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4. Functional disconnection (Arm B)</w:t>
      </w:r>
    </w:p>
    <w:p>
      <w:pPr>
        <w:pStyle w:val="ListBullet"/>
      </w:pPr>
      <w:r>
        <w:rPr>
          <w:b/>
        </w:rPr>
        <w:t>Primary stream:</w:t>
      </w:r>
      <w:r>
        <w:t xml:space="preserve"> </w:t>
      </w:r>
      <w:r>
        <w:rPr>
          <w:rFonts w:ascii="Courier New" w:hAnsi="Courier New"/>
        </w:rPr>
        <w:t>xcp_d</w:t>
      </w:r>
      <w:r>
        <w:t xml:space="preserve"> → </w:t>
      </w:r>
      <w:r>
        <w:rPr>
          <w:rFonts w:ascii="Courier New" w:hAnsi="Courier New"/>
        </w:rPr>
        <w:t>.../arm-B_empirical_fc_disconnection/desc-empirical_fc_disconnection.csv</w:t>
      </w:r>
    </w:p>
    <w:p>
      <w:pPr>
        <w:pStyle w:val="ListBullet"/>
      </w:pPr>
      <w:r>
        <w:rPr>
          <w:b/>
        </w:rPr>
        <w:t>Sensitivity stream:</w:t>
      </w:r>
      <w:r>
        <w:t xml:space="preserve"> </w:t>
      </w:r>
      <w:r>
        <w:rPr>
          <w:rFonts w:ascii="Courier New" w:hAnsi="Courier New"/>
        </w:rPr>
        <w:t>fmristroke</w:t>
      </w:r>
      <w:r>
        <w:t xml:space="preserve"> (same path under fmristroke tree)</w:t>
      </w:r>
    </w:p>
    <w:p>
      <w:pPr>
        <w:pStyle w:val="ListBullet"/>
      </w:pPr>
      <w:r>
        <w:rPr>
          <w:b/>
        </w:rPr>
        <w:t>Method:</w:t>
      </w:r>
      <w:r>
        <w:t xml:space="preserve"> D_ij = 1 − |FC_spare|/|FC_primary| on DKT-78 (</w:t>
      </w:r>
      <w:r>
        <w:rPr>
          <w:rFonts w:ascii="Courier New" w:hAnsi="Courier New"/>
        </w:rPr>
        <w:t>fc_dkt78_align.py</w:t>
      </w:r>
      <w:r>
        <w:t>)</w:t>
      </w:r>
    </w:p>
    <w:p>
      <w:pPr>
        <w:pStyle w:val="ListBullet"/>
      </w:pPr>
      <w:r>
        <w:rPr>
          <w:b/>
        </w:rPr>
        <w:t>BOLD provenance:</w:t>
      </w:r>
      <w:r>
        <w:t xml:space="preserve"> report </w:t>
      </w:r>
      <w:r>
        <w:rPr>
          <w:rFonts w:ascii="Courier New" w:hAnsi="Courier New"/>
        </w:rPr>
        <w:t>atlas-DKT_provenance.json</w:t>
      </w:r>
      <w:r>
        <w:t xml:space="preserve"> </w:t>
      </w:r>
      <w:r>
        <w:rPr>
          <w:rFonts w:ascii="Courier New" w:hAnsi="Courier New"/>
        </w:rPr>
        <w:t>bold_source_class</w:t>
      </w:r>
      <w:r>
        <w:t xml:space="preserve"> per subject</w:t>
      </w:r>
    </w:p>
    <w:p>
      <w:pPr>
        <w:pStyle w:val="ListBullet"/>
      </w:pPr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5. Normative comparators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**LQT**</w:t>
            </w:r>
          </w:p>
        </w:tc>
        <w:tc>
          <w:tcPr>
            <w:tcW w:type="dxa" w:w="2880"/>
          </w:tcPr>
          <w:p>
            <w:r>
              <w:t>Parcel SDC matrix aligned to DKT-78</w:t>
            </w:r>
          </w:p>
        </w:tc>
        <w:tc>
          <w:tcPr>
            <w:tcW w:type="dxa" w:w="2880"/>
          </w:tcPr>
          <w:p>
            <w:r>
              <w:t>Not run on cohort</w:t>
            </w:r>
          </w:p>
        </w:tc>
      </w:tr>
      <w:tr>
        <w:tc>
          <w:tcPr>
            <w:tcW w:type="dxa" w:w="2880"/>
          </w:tcPr>
          <w:p>
            <w:r>
              <w:t>**BCBtoolkit**</w:t>
            </w:r>
          </w:p>
        </w:tc>
        <w:tc>
          <w:tcPr>
            <w:tcW w:type="dxa" w:w="2880"/>
          </w:tcPr>
          <w:p>
            <w:r>
              <w:t>Voxel probability map → parcel aggregate (optional)</w:t>
            </w:r>
          </w:p>
        </w:tc>
        <w:tc>
          <w:tcPr>
            <w:tcW w:type="dxa" w:w="2880"/>
          </w:tcPr>
          <w:p>
            <w:r>
              <w:t>Not run</w:t>
            </w:r>
          </w:p>
        </w:tc>
      </w:tr>
    </w:tbl>
    <w:p/>
    <w:p>
      <w:pPr>
        <w:pStyle w:val="ListBullet"/>
      </w:pPr>
      <w:r>
        <w:rPr>
          <w:b/>
        </w:rPr>
        <w:t>MNI lesion prep:</w:t>
      </w:r>
      <w:r>
        <w:t xml:space="preserve"> document registration pipeline for LQT input</w:t>
      </w:r>
    </w:p>
    <w:p>
      <w:pPr>
        <w:pStyle w:val="ListBullet"/>
      </w:pPr>
      <w:r>
        <w:rPr>
          <w:b/>
        </w:rPr>
        <w:t>Locked comparator set:</w:t>
      </w:r>
      <w:r>
        <w:t xml:space="preserve"> ______ (LQT only / LQT+BCB)</w:t>
      </w:r>
    </w:p>
    <w:p/>
    <w:p>
      <w:pPr>
        <w:pStyle w:val="Heading2"/>
      </w:pPr>
      <w:r>
        <w:t>6. Primary endpoints (no clinical)</w:t>
      </w:r>
    </w:p>
    <w:p>
      <w:pPr>
        <w:pStyle w:val="Heading3"/>
      </w:pPr>
      <w:r>
        <w:t>6.1 RQ1 — SDC method agreement</w:t>
      </w:r>
    </w:p>
    <w:p>
      <w:pPr>
        <w:pStyle w:val="ListBullet"/>
      </w:pPr>
      <w:r>
        <w:rPr>
          <w:b/>
        </w:rPr>
        <w:t>Metric:</w:t>
      </w:r>
      <w:r>
        <w:t xml:space="preserve"> Pearson r on strict upper triangle between patient-specific D and LQT D (per subject)</w:t>
      </w:r>
    </w:p>
    <w:p>
      <w:pPr>
        <w:pStyle w:val="ListBullet"/>
      </w:pPr>
      <w:r>
        <w:rPr>
          <w:b/>
        </w:rPr>
        <w:t>Cohort summaries:</w:t>
      </w:r>
      <w:r>
        <w:t xml:space="preserve"> mean/median r, fraction with r &lt; 0.7, r &lt; 0.5</w:t>
      </w:r>
    </w:p>
    <w:p>
      <w:pPr>
        <w:pStyle w:val="ListBullet"/>
      </w:pPr>
      <w:r>
        <w:rPr>
          <w:b/>
        </w:rPr>
        <w:t>Locked thresholds:</w:t>
      </w:r>
      <w:r>
        <w:t xml:space="preserve"> same as Paper 2 §9 unless amended here: ______</w:t>
      </w:r>
    </w:p>
    <w:p>
      <w:pPr>
        <w:pStyle w:val="Heading3"/>
      </w:pPr>
      <w:r>
        <w:t>6.2 RQ3 — SC ↔ FC coupling</w:t>
      </w:r>
    </w:p>
    <w:p>
      <w:pPr>
        <w:pStyle w:val="ListBullet"/>
      </w:pPr>
      <w:r>
        <w:rPr>
          <w:b/>
        </w:rPr>
        <w:t>Primary:</w:t>
      </w:r>
      <w:r>
        <w:t xml:space="preserve"> compare association strength </w:t>
      </w:r>
      <w:r>
        <w:rPr>
          <w:b/>
        </w:rPr>
        <w:t>patient-specific SDC ↔ Arm B</w:t>
      </w:r>
      <w:r>
        <w:t xml:space="preserve"> vs </w:t>
      </w:r>
      <w:r>
        <w:rPr>
          <w:b/>
        </w:rPr>
        <w:t>LQT SDC ↔ Arm B</w:t>
      </w:r>
    </w:p>
    <w:p>
      <w:pPr>
        <w:pStyle w:val="ListBullet"/>
      </w:pPr>
      <w:r>
        <w:rPr>
          <w:b/>
        </w:rPr>
        <w:t>Methods (choose one primary, one sensitivity):</w:t>
      </w:r>
    </w:p>
    <w:p>
      <w:pPr>
        <w:pStyle w:val="ListBullet"/>
      </w:pPr>
      <w:r>
        <w:rPr>
          <w:b/>
        </w:rPr>
        <w:t>A:</w:t>
      </w:r>
      <w:r>
        <w:t xml:space="preserve"> Pearson r on paired upper-triangle edge vectors (per subject + Fisher-z average)</w:t>
      </w:r>
    </w:p>
    <w:p>
      <w:pPr>
        <w:pStyle w:val="ListBullet"/>
      </w:pPr>
      <w:r>
        <w:rPr>
          <w:b/>
        </w:rPr>
        <w:t>B:</w:t>
      </w:r>
      <w:r>
        <w:t xml:space="preserve"> CCA first canonical correlation (subject-level stacked edges or summary features)</w:t>
      </w:r>
    </w:p>
    <w:p>
      <w:pPr>
        <w:pStyle w:val="ListBullet"/>
      </w:pPr>
      <w:r>
        <w:rPr>
          <w:b/>
        </w:rPr>
        <w:t>C:</w:t>
      </w:r>
      <w:r>
        <w:t xml:space="preserve"> Cross-validated prediction R² (SC edges → FC edges), permutation test</w:t>
      </w:r>
    </w:p>
    <w:p>
      <w:pPr>
        <w:pStyle w:val="ListBullet"/>
      </w:pPr>
      <w:r>
        <w:rPr>
          <w:b/>
        </w:rPr>
        <w:t>Locked primary:</w:t>
      </w:r>
      <w:r>
        <w:t xml:space="preserve"> ______ (default: </w:t>
      </w:r>
      <w:r>
        <w:rPr>
          <w:b/>
        </w:rPr>
        <w:t>A</w:t>
      </w:r>
      <w:r>
        <w:t xml:space="preserve"> for pilot; </w:t>
      </w:r>
      <w:r>
        <w:rPr>
          <w:b/>
        </w:rPr>
        <w:t>C</w:t>
      </w:r>
      <w:r>
        <w:t xml:space="preserve"> for cohort)</w:t>
      </w:r>
    </w:p>
    <w:p>
      <w:pPr>
        <w:pStyle w:val="Heading3"/>
      </w:pPr>
      <w:r>
        <w:t>6.3 Excluded endpoints</w:t>
      </w:r>
    </w:p>
    <w:p>
      <w:pPr>
        <w:pStyle w:val="ListBullet"/>
      </w:pPr>
      <w:r>
        <w:t>GOSE, RPQ, neuropsych composites, ordinal outcome models</w:t>
      </w:r>
    </w:p>
    <w:p/>
    <w:p>
      <w:pPr>
        <w:pStyle w:val="Heading2"/>
      </w:pPr>
      <w:r>
        <w:t>7. Covariates (imaging QC only)</w:t>
      </w:r>
    </w:p>
    <w:p>
      <w:r>
        <w:t xml:space="preserve">Not regression covariates on behavior — used for </w:t>
      </w:r>
      <w:r>
        <w:rPr>
          <w:b/>
        </w:rPr>
        <w:t>stratification / sensitivity</w:t>
      </w:r>
      <w:r>
        <w:t>:</w:t>
      </w:r>
    </w:p>
    <w:p>
      <w:pPr>
        <w:pStyle w:val="ListBullet"/>
      </w:pPr>
      <w:r>
        <w:t>Mean FD (fMRIPrep/XCP-D confounds)</w:t>
      </w:r>
    </w:p>
    <w:p>
      <w:pPr>
        <w:pStyle w:val="ListBullet"/>
      </w:pPr>
      <w:r>
        <w:t>Lesion volume mm³ (</w:t>
      </w:r>
      <w:r>
        <w:rPr>
          <w:rFonts w:ascii="Courier New" w:hAnsi="Courier New"/>
        </w:rPr>
        <w:t>lesion_roi_metrics.csv</w:t>
      </w:r>
      <w:r>
        <w:t>)</w:t>
      </w:r>
    </w:p>
    <w:p>
      <w:pPr>
        <w:pStyle w:val="ListBullet"/>
      </w:pPr>
      <w:r>
        <w:t>Lesion labels (core/oedema)</w:t>
      </w:r>
    </w:p>
    <w:p/>
    <w:p>
      <w:pPr>
        <w:pStyle w:val="Heading2"/>
      </w:pPr>
      <w:r>
        <w:t>8. Imaging complete-case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N ≥ 40 with LQT + Arm A + Arm B</w:t>
            </w:r>
          </w:p>
        </w:tc>
        <w:tc>
          <w:tcPr>
            <w:tcW w:type="dxa" w:w="4320"/>
          </w:tcPr>
          <w:p>
            <w:r>
              <w:t>Primary manuscript inference</w:t>
            </w:r>
          </w:p>
        </w:tc>
      </w:tr>
      <w:tr>
        <w:tc>
          <w:tcPr>
            <w:tcW w:type="dxa" w:w="4320"/>
          </w:tcPr>
          <w:p>
            <w:r>
              <w:t>N = 15–39</w:t>
            </w:r>
          </w:p>
        </w:tc>
        <w:tc>
          <w:tcPr>
            <w:tcW w:type="dxa" w:w="4320"/>
          </w:tcPr>
          <w:p>
            <w:r>
              <w:t>Report with bootstrap / limitations</w:t>
            </w:r>
          </w:p>
        </w:tc>
      </w:tr>
      <w:tr>
        <w:tc>
          <w:tcPr>
            <w:tcW w:type="dxa" w:w="4320"/>
          </w:tcPr>
          <w:p>
            <w:r>
              <w:t>N &lt; 15</w:t>
            </w:r>
          </w:p>
        </w:tc>
        <w:tc>
          <w:tcPr>
            <w:tcW w:type="dxa" w:w="4320"/>
          </w:tcPr>
          <w:p>
            <w:r>
              <w:t>Pilot / methods note only</w:t>
            </w:r>
          </w:p>
        </w:tc>
      </w:tr>
    </w:tbl>
    <w:p/>
    <w:p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9. fMRI dual-stream policy</w:t>
      </w:r>
    </w:p>
    <w:p>
      <w:pPr>
        <w:pStyle w:val="ListBullet"/>
      </w:pPr>
      <w:r>
        <w:rPr>
          <w:b/>
        </w:rPr>
        <w:t>Primary inference:</w:t>
      </w:r>
      <w:r>
        <w:t xml:space="preserve"> XCP-D Arm B only</w:t>
      </w:r>
    </w:p>
    <w:p>
      <w:pPr>
        <w:pStyle w:val="ListBullet"/>
      </w:pPr>
      <w:r>
        <w:rPr>
          <w:b/>
        </w:rPr>
        <w:t>Sensitivity:</w:t>
      </w:r>
      <w:r>
        <w:t xml:space="preserve"> fMRIStroke Arm B; report agreement (</w:t>
      </w:r>
      <w:r>
        <w:rPr>
          <w:rFonts w:ascii="Courier New" w:hAnsi="Courier New"/>
        </w:rPr>
        <w:t>compare_fc_streams.py</w:t>
      </w:r>
      <w:r>
        <w:t>)</w:t>
      </w:r>
    </w:p>
    <w:p>
      <w:pPr>
        <w:pStyle w:val="ListBullet"/>
      </w:pPr>
      <w:r>
        <w:rPr>
          <w:b/>
        </w:rPr>
        <w:t>Locked:</w:t>
      </w:r>
      <w:r>
        <w:t xml:space="preserve"> ______</w:t>
      </w:r>
    </w:p>
    <w:p/>
    <w:p>
      <w:pPr>
        <w:pStyle w:val="Heading2"/>
      </w:pPr>
      <w:r>
        <w:t>10. Software outputs</w:t>
      </w:r>
    </w:p>
    <w:p>
      <w:r>
        <w:t>All group summaries written to:</w:t>
      </w:r>
    </w:p>
    <w:p>
      <w:r>
        <w:rPr>
          <w:rFonts w:ascii="Courier New" w:hAnsi="Courier New"/>
          <w:sz w:val="18"/>
        </w:rPr>
        <w:t>$OUT_ROOT/analysis/paper2b/</w:t>
      </w:r>
    </w:p>
    <w:p>
      <w:r>
        <w:t xml:space="preserve">Scripts: </w:t>
      </w:r>
      <w:r>
        <w:rPr>
          <w:rFonts w:ascii="Courier New" w:hAnsi="Courier New"/>
        </w:rPr>
        <w:t>dwi_pipeline/analysis/paper2b/</w:t>
      </w:r>
      <w:r>
        <w:t>.</w:t>
      </w:r>
    </w:p>
    <w:p/>
    <w:p>
      <w:pPr>
        <w:pStyle w:val="Heading2"/>
      </w:pPr>
      <w:r>
        <w:t>11. Venue rule (2B-specific)</w:t>
      </w:r>
    </w:p>
    <w:p>
      <w:pPr>
        <w:pStyle w:val="ListNumber"/>
      </w:pPr>
      <w:r>
        <w:rPr>
          <w:b/>
        </w:rPr>
        <w:t>H1 supported</w:t>
      </w:r>
      <w:r>
        <w:t xml:space="preserve"> (meaningful LQT divergence in ≥25% subjects) </w:t>
      </w:r>
      <w:r>
        <w:rPr>
          <w:b/>
        </w:rPr>
        <w:t>and H3 supported</w:t>
      </w:r>
      <w:r>
        <w:t xml:space="preserve"> (patient-specific SC↔FC &gt; LQT) → lead </w:t>
      </w:r>
      <w:r>
        <w:rPr>
          <w:i/>
        </w:rPr>
        <w:t>NeuroImage</w:t>
      </w:r>
    </w:p>
    <w:p>
      <w:pPr>
        <w:pStyle w:val="ListNumber"/>
      </w:pPr>
      <w:r>
        <w:rPr>
          <w:b/>
        </w:rPr>
        <w:t>H1 supported</w:t>
      </w:r>
      <w:r>
        <w:t xml:space="preserve">, H3 weak → methods paper with honest SC↔FC null; </w:t>
      </w:r>
      <w:r>
        <w:rPr>
          <w:i/>
        </w:rPr>
        <w:t>HBM</w:t>
      </w:r>
      <w:r>
        <w:t xml:space="preserve"> / </w:t>
      </w:r>
      <w:r>
        <w:rPr>
          <w:i/>
        </w:rPr>
        <w:t>NI:Clinical</w:t>
      </w:r>
    </w:p>
    <w:p>
      <w:pPr>
        <w:pStyle w:val="ListNumber"/>
      </w:pPr>
      <w:r>
        <w:rPr>
          <w:b/>
        </w:rPr>
        <w:t>H1 null</w:t>
      </w:r>
      <w:r>
        <w:t xml:space="preserve"> (high LQT agreement) → publishable </w:t>
      </w:r>
      <w:r>
        <w:rPr>
          <w:b/>
        </w:rPr>
        <w:t>negative methods</w:t>
      </w:r>
      <w:r>
        <w:t>; emphasize when normative tools fail in subsets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upgrade to Paper 2 outcome claims without new analysis plan sign-off</w:t>
      </w:r>
    </w:p>
    <w:p>
      <w:r>
        <w:rPr>
          <w:b/>
        </w:rPr>
        <w:t>Locked:</w:t>
      </w:r>
      <w:r>
        <w:t xml:space="preserve">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