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imaging-only disconnectome (no clinical outcomes)</w:t>
      </w:r>
    </w:p>
    <w:p>
      <w:r>
        <w:rPr>
          <w:b/>
        </w:rPr>
        <w:t>Purpose:</w:t>
      </w:r>
      <w:r>
        <w:t xml:space="preserve"> canonical entry for the </w:t>
      </w:r>
      <w:r>
        <w:rPr>
          <w:b/>
        </w:rPr>
        <w:t>imaging-mechanism / methods</w:t>
      </w:r>
      <w:r>
        <w:t xml:space="preserve"> manuscript</w:t>
      </w:r>
    </w:p>
    <w:p>
      <w:r>
        <w:t xml:space="preserve">that does </w:t>
      </w:r>
      <w:r>
        <w:rPr>
          <w:b/>
        </w:rPr>
        <w:t>not</w:t>
      </w:r>
      <w:r>
        <w:t xml:space="preserve"> require GOSE, neuropsych, or TRACK-TBI clinical export.</w:t>
      </w:r>
    </w:p>
    <w:p>
      <w:r>
        <w:rPr>
          <w:b/>
        </w:rPr>
        <w:t>Sibling papers: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Paper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Clinical data</w:t>
            </w:r>
          </w:p>
        </w:tc>
      </w:tr>
      <w:tr>
        <w:tc>
          <w:tcPr>
            <w:tcW w:type="dxa" w:w="2880"/>
          </w:tcPr>
          <w:p>
            <w:r>
              <w:t>[**Paper 2 (full)**](../disconnectome/index.md)</w:t>
            </w:r>
          </w:p>
        </w:tc>
        <w:tc>
          <w:tcPr>
            <w:tcW w:type="dxa" w:w="2880"/>
          </w:tcPr>
          <w:p>
            <w:r>
              <w:t>SDC → FC → **behavior**; incremental validity</w:t>
            </w:r>
          </w:p>
        </w:tc>
        <w:tc>
          <w:tcPr>
            <w:tcW w:type="dxa" w:w="2880"/>
          </w:tcPr>
          <w:p>
            <w:r>
              <w:t>**Required**</w:t>
            </w:r>
          </w:p>
        </w:tc>
      </w:tr>
      <w:tr>
        <w:tc>
          <w:tcPr>
            <w:tcW w:type="dxa" w:w="2880"/>
          </w:tcPr>
          <w:p>
            <w:r>
              <w:t>**Paper 2B (this folder)**</w:t>
            </w:r>
          </w:p>
        </w:tc>
        <w:tc>
          <w:tcPr>
            <w:tcW w:type="dxa" w:w="2880"/>
          </w:tcPr>
          <w:p>
            <w:r>
              <w:t>Patient-specific vs **normative SDC**; **SC ↔ FC** alignment</w:t>
            </w:r>
          </w:p>
        </w:tc>
        <w:tc>
          <w:tcPr>
            <w:tcW w:type="dxa" w:w="2880"/>
          </w:tcPr>
          <w:p>
            <w:r>
              <w:t>**Not used**</w:t>
            </w:r>
          </w:p>
        </w:tc>
      </w:tr>
    </w:tbl>
    <w:p/>
    <w:p>
      <w:r>
        <w:rPr>
          <w:b/>
        </w:rPr>
        <w:t>As-of:</w:t>
      </w:r>
      <w:r>
        <w:t xml:space="preserve"> 2026-10-07 · </w:t>
      </w:r>
      <w:r>
        <w:rPr>
          <w:b/>
        </w:rPr>
        <w:t>Status:</w:t>
      </w:r>
      <w:r>
        <w:t xml:space="preserve"> Active — pilot imaging complete (7 × 2WK); LQT/BCB + cohort N pending.</w:t>
      </w:r>
    </w:p>
    <w:p/>
    <w:p>
      <w:pPr>
        <w:pStyle w:val="Heading2"/>
      </w:pPr>
      <w:r>
        <w:t>Thesis</w:t>
      </w:r>
    </w:p>
    <w:p>
      <w:r>
        <w:t xml:space="preserve">In focal TBI, </w:t>
      </w:r>
      <w:r>
        <w:rPr>
          <w:b/>
        </w:rPr>
        <w:t>normative-atlas structural disconnection</w:t>
      </w:r>
      <w:r>
        <w:t xml:space="preserve"> (LQT, BCBtoolkit) and</w:t>
      </w:r>
    </w:p>
    <w:p>
      <w:r>
        <w:rPr>
          <w:b/>
        </w:rPr>
        <w:t>patient-specific lesion-aware SDC</w:t>
      </w:r>
      <w:r>
        <w:t xml:space="preserve"> (DWI tractography) are </w:t>
      </w:r>
      <w:r>
        <w:rPr>
          <w:b/>
        </w:rPr>
        <w:t>not interchangeable</w:t>
      </w:r>
      <w:r>
        <w:t>;</w:t>
      </w:r>
    </w:p>
    <w:p>
      <w:r>
        <w:t xml:space="preserve">disagreement is </w:t>
      </w:r>
      <w:r>
        <w:rPr>
          <w:b/>
        </w:rPr>
        <w:t>structured by lesion anatomy</w:t>
      </w:r>
      <w:r>
        <w:t>, and **patient-specific SDC aligns</w:t>
      </w:r>
    </w:p>
    <w:p>
      <w:r>
        <w:t>better with empirical resting-state functional disconnection** (DKT-78 Arm B) than</w:t>
      </w:r>
    </w:p>
    <w:p>
      <w:r>
        <w:t xml:space="preserve">normative SDC — </w:t>
      </w:r>
      <w:r>
        <w:rPr>
          <w:b/>
        </w:rPr>
        <w:t>without</w:t>
      </w:r>
      <w:r>
        <w:t xml:space="preserve"> claiming prognostic value on clinical outcomes.</w:t>
      </w:r>
    </w:p>
    <w:p/>
    <w:p>
      <w:pPr>
        <w:pStyle w:val="Heading2"/>
      </w:pPr>
      <w:r>
        <w:t>Documentation cluster</w:t>
      </w:r>
    </w:p>
    <w:p>
      <w:r>
        <w:t xml:space="preserve">Each markdown file has a matching </w:t>
      </w:r>
      <w:r>
        <w:rPr>
          <w:rFonts w:ascii="Courier New" w:hAnsi="Courier New"/>
        </w:rPr>
        <w:t>.docx</w:t>
      </w:r>
      <w:r>
        <w:t xml:space="preserve"> (regenerate: </w:t>
      </w:r>
      <w:r>
        <w:rPr>
          <w:rFonts w:ascii="Courier New" w:hAnsi="Courier New"/>
        </w:rPr>
        <w:t>bash dwi_pipeline/analysis/paper2b/export_paper2b_docx.sh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**[index.md](index.md)** / [index.docx](index.docx)</w:t>
            </w:r>
          </w:p>
        </w:tc>
        <w:tc>
          <w:tcPr>
            <w:tcW w:type="dxa" w:w="4320"/>
          </w:tcPr>
          <w:p>
            <w:r>
              <w:t>Cover + navigation</w:t>
            </w:r>
          </w:p>
        </w:tc>
      </w:tr>
      <w:tr>
        <w:tc>
          <w:tcPr>
            <w:tcW w:type="dxa" w:w="4320"/>
          </w:tcPr>
          <w:p>
            <w:r>
              <w:t>[planning.md](planning.md)</w:t>
            </w:r>
          </w:p>
        </w:tc>
        <w:tc>
          <w:tcPr>
            <w:tcW w:type="dxa" w:w="4320"/>
          </w:tcPr>
          <w:p>
            <w:r>
              <w:t>RQs, hypotheses, scope, venue targets</w:t>
            </w:r>
          </w:p>
        </w:tc>
      </w:tr>
      <w:tr>
        <w:tc>
          <w:tcPr>
            <w:tcW w:type="dxa" w:w="4320"/>
          </w:tcPr>
          <w:p>
            <w:r>
              <w:t>[analysis_plan.md](analysis_plan.md)</w:t>
            </w:r>
          </w:p>
        </w:tc>
        <w:tc>
          <w:tcPr>
            <w:tcW w:type="dxa" w:w="4320"/>
          </w:tcPr>
          <w:p>
            <w:r>
              <w:t>Pre-registration (imaging-only; sign-off block)</w:t>
            </w:r>
          </w:p>
        </w:tc>
      </w:tr>
      <w:tr>
        <w:tc>
          <w:tcPr>
            <w:tcW w:type="dxa" w:w="4320"/>
          </w:tcPr>
          <w:p>
            <w:r>
              <w:t>[prior_work_novelty.md](prior_work_novelty.md)</w:t>
            </w:r>
          </w:p>
        </w:tc>
        <w:tc>
          <w:tcPr>
            <w:tcW w:type="dxa" w:w="4320"/>
          </w:tcPr>
          <w:p>
            <w:r>
              <w:t>Prior-work map + evidence checklist</w:t>
            </w:r>
          </w:p>
        </w:tc>
      </w:tr>
      <w:tr>
        <w:tc>
          <w:tcPr>
            <w:tcW w:type="dxa" w:w="4320"/>
          </w:tcPr>
          <w:p>
            <w:r>
              <w:t>[manuscript_skeleton.md](manuscript_skeleton.md)</w:t>
            </w:r>
          </w:p>
        </w:tc>
        <w:tc>
          <w:tcPr>
            <w:tcW w:type="dxa" w:w="4320"/>
          </w:tcPr>
          <w:p>
            <w:r>
              <w:t>Section outline + figures/tables</w:t>
            </w:r>
          </w:p>
        </w:tc>
      </w:tr>
      <w:tr>
        <w:tc>
          <w:tcPr>
            <w:tcW w:type="dxa" w:w="4320"/>
          </w:tcPr>
          <w:p>
            <w:r>
              <w:t>[paper2b_abstract.md](paper2b_abstract.md)</w:t>
            </w:r>
          </w:p>
        </w:tc>
        <w:tc>
          <w:tcPr>
            <w:tcW w:type="dxa" w:w="4320"/>
          </w:tcPr>
          <w:p>
            <w:r>
              <w:t>Working abstract (honest, pre-results)</w:t>
            </w:r>
          </w:p>
        </w:tc>
      </w:tr>
      <w:tr>
        <w:tc>
          <w:tcPr>
            <w:tcW w:type="dxa" w:w="4320"/>
          </w:tcPr>
          <w:p>
            <w:r>
              <w:t>[imaging_cohort_tracker.md](imaging_cohort_tracker.md)</w:t>
            </w:r>
          </w:p>
        </w:tc>
        <w:tc>
          <w:tcPr>
            <w:tcW w:type="dxa" w:w="4320"/>
          </w:tcPr>
          <w:p>
            <w:r>
              <w:t>Per-subject imaging QC (no GOSE columns)</w:t>
            </w:r>
          </w:p>
        </w:tc>
      </w:tr>
      <w:tr>
        <w:tc>
          <w:tcPr>
            <w:tcW w:type="dxa" w:w="4320"/>
          </w:tcPr>
          <w:p>
            <w:r>
              <w:t>[readiness_missing.md](readiness_missing.md)</w:t>
            </w:r>
          </w:p>
        </w:tc>
        <w:tc>
          <w:tcPr>
            <w:tcW w:type="dxa" w:w="4320"/>
          </w:tcPr>
          <w:p>
            <w:r>
              <w:t>Submission checklist</w:t>
            </w:r>
          </w:p>
        </w:tc>
      </w:tr>
      <w:tr>
        <w:tc>
          <w:tcPr>
            <w:tcW w:type="dxa" w:w="4320"/>
          </w:tcPr>
          <w:p>
            <w:r>
              <w:t>[lqt_batch_notes.md](lqt_batch_notes.md)</w:t>
            </w:r>
          </w:p>
        </w:tc>
        <w:tc>
          <w:tcPr>
            <w:tcW w:type="dxa" w:w="4320"/>
          </w:tcPr>
          <w:p>
            <w:r>
              <w:t>LQT output convention + SLURM (RQ1 blocker)</w:t>
            </w:r>
          </w:p>
        </w:tc>
      </w:tr>
    </w:tbl>
    <w:p/>
    <w:p>
      <w:r>
        <w:rPr>
          <w:b/>
        </w:rPr>
        <w:t>Analysis code:</w:t>
      </w:r>
      <w:r>
        <w:t xml:space="preserve"> </w:t>
      </w:r>
      <w:r>
        <w:rPr>
          <w:rFonts w:ascii="Courier New" w:hAnsi="Courier New"/>
        </w:rPr>
        <w:t>../../../analysis/paper2b/</w:t>
      </w:r>
      <w:r>
        <w:t xml:space="preserve"> (README + scripts).</w:t>
      </w:r>
    </w:p>
    <w:p>
      <w:r>
        <w:rPr>
          <w:b/>
        </w:rPr>
        <w:t>Pipeline ops:</w:t>
      </w:r>
      <w:r>
        <w:t xml:space="preserve"> DWI </w:t>
      </w:r>
      <w:r>
        <w:rPr>
          <w:rFonts w:ascii="Courier New" w:hAnsi="Courier New"/>
        </w:rPr>
        <w:t>../../methods/step4_1_disconnectome.md</w:t>
      </w:r>
      <w:r>
        <w:t xml:space="preserve"> · fMRI </w:t>
      </w:r>
      <w:r>
        <w:rPr>
          <w:rFonts w:ascii="Courier New" w:hAnsi="Courier New"/>
        </w:rPr>
        <w:t>../../../../fMRI_pipeline/fmri_pipeline.md</w:t>
      </w:r>
      <w:r>
        <w:t xml:space="preserve"> · pilot QC </w:t>
      </w:r>
      <w:r>
        <w:rPr>
          <w:rFonts w:ascii="Courier New" w:hAnsi="Courier New"/>
        </w:rPr>
        <w:t>../../../../fMRI_pipeline/scripts/run_pilot_fc_analysis.sh</w:t>
      </w:r>
      <w:r>
        <w:t>.</w:t>
      </w:r>
    </w:p>
    <w:p/>
    <w:p>
      <w:pPr>
        <w:pStyle w:val="Heading2"/>
      </w:pPr>
      <w:r>
        <w:t>Target venues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Venue</w:t>
            </w:r>
          </w:p>
        </w:tc>
        <w:tc>
          <w:tcPr>
            <w:tcW w:type="dxa" w:w="4320"/>
          </w:tcPr>
          <w:p>
            <w:r>
              <w:t>Fit</w:t>
            </w:r>
          </w:p>
        </w:tc>
      </w:tr>
      <w:tr>
        <w:tc>
          <w:tcPr>
            <w:tcW w:type="dxa" w:w="4320"/>
          </w:tcPr>
          <w:p>
            <w:r>
              <w:t>***NeuroImage***</w:t>
            </w:r>
          </w:p>
        </w:tc>
        <w:tc>
          <w:tcPr>
            <w:tcW w:type="dxa" w:w="4320"/>
          </w:tcPr>
          <w:p>
            <w:r>
              <w:t>Primary — methods head-to-head + quantitative FC downstream</w:t>
            </w:r>
          </w:p>
        </w:tc>
      </w:tr>
      <w:tr>
        <w:tc>
          <w:tcPr>
            <w:tcW w:type="dxa" w:w="4320"/>
          </w:tcPr>
          <w:p>
            <w:r>
              <w:t>***Human Brain Mapping***</w:t>
            </w:r>
          </w:p>
        </w:tc>
        <w:tc>
          <w:tcPr>
            <w:tcW w:type="dxa" w:w="4320"/>
          </w:tcPr>
          <w:p>
            <w:r>
              <w:t>Solid if N modest but methods + SC↔FC clear</w:t>
            </w:r>
          </w:p>
        </w:tc>
      </w:tr>
      <w:tr>
        <w:tc>
          <w:tcPr>
            <w:tcW w:type="dxa" w:w="4320"/>
          </w:tcPr>
          <w:p>
            <w:r>
              <w:t>***NeuroImage: Clinical***</w:t>
            </w:r>
          </w:p>
        </w:tc>
        <w:tc>
          <w:tcPr>
            <w:tcW w:type="dxa" w:w="4320"/>
          </w:tcPr>
          <w:p>
            <w:r>
              <w:t>TBI imaging focus; backup</w:t>
            </w:r>
          </w:p>
        </w:tc>
      </w:tr>
    </w:tbl>
    <w:p/>
    <w:p>
      <w:r>
        <w:t xml:space="preserve">Not targeting </w:t>
      </w:r>
      <w:r>
        <w:rPr>
          <w:i/>
        </w:rPr>
        <w:t>Brain</w:t>
      </w:r>
      <w:r>
        <w:t xml:space="preserve"> / outcome-led </w:t>
      </w:r>
      <w:r>
        <w:rPr>
          <w:i/>
        </w:rPr>
        <w:t>J Neurotrauma</w:t>
      </w:r>
      <w:r>
        <w:t xml:space="preserve"> with this manuscript (see Paper 2).</w:t>
      </w:r>
    </w:p>
    <w:p/>
    <w:p>
      <w:pPr>
        <w:pStyle w:val="Heading2"/>
      </w:pPr>
      <w:r>
        <w:t>Cross-tier citations (methods-heavy)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Paper</w:t>
            </w:r>
          </w:p>
        </w:tc>
        <w:tc>
          <w:tcPr>
            <w:tcW w:type="dxa" w:w="4320"/>
          </w:tcPr>
          <w:p>
            <w:r>
              <w:t>Role in 2B</w:t>
            </w:r>
          </w:p>
        </w:tc>
      </w:tr>
      <w:tr>
        <w:tc>
          <w:tcPr>
            <w:tcW w:type="dxa" w:w="4320"/>
          </w:tcPr>
          <w:p>
            <w:r>
              <w:t>Griffis 2021 LQT</w:t>
            </w:r>
          </w:p>
        </w:tc>
        <w:tc>
          <w:tcPr>
            <w:tcW w:type="dxa" w:w="4320"/>
          </w:tcPr>
          <w:p>
            <w:r>
              <w:t>**Comparator**</w:t>
            </w:r>
          </w:p>
        </w:tc>
      </w:tr>
      <w:tr>
        <w:tc>
          <w:tcPr>
            <w:tcW w:type="dxa" w:w="4320"/>
          </w:tcPr>
          <w:p>
            <w:r>
              <w:t>Foulon 2018 BCB</w:t>
            </w:r>
          </w:p>
        </w:tc>
        <w:tc>
          <w:tcPr>
            <w:tcW w:type="dxa" w:w="4320"/>
          </w:tcPr>
          <w:p>
            <w:r>
              <w:t>Second comparator</w:t>
            </w:r>
          </w:p>
        </w:tc>
      </w:tr>
      <w:tr>
        <w:tc>
          <w:tcPr>
            <w:tcW w:type="dxa" w:w="4320"/>
          </w:tcPr>
          <w:p>
            <w:r>
              <w:t>Griffis 2019</w:t>
            </w:r>
          </w:p>
        </w:tc>
        <w:tc>
          <w:tcPr>
            <w:tcW w:type="dxa" w:w="4320"/>
          </w:tcPr>
          <w:p>
            <w:r>
              <w:t>SC↔FC template (Fig 2 analog — **no behavior arm**)</w:t>
            </w:r>
          </w:p>
        </w:tc>
      </w:tr>
      <w:tr>
        <w:tc>
          <w:tcPr>
            <w:tcW w:type="dxa" w:w="4320"/>
          </w:tcPr>
          <w:p>
            <w:r>
              <w:t>Bey 2024 LeAPP</w:t>
            </w:r>
          </w:p>
        </w:tc>
        <w:tc>
          <w:tcPr>
            <w:tcW w:type="dxa" w:w="4320"/>
          </w:tcPr>
          <w:p>
            <w:r>
              <w:t>Patient-specific SC pipeline precedent</w:t>
            </w:r>
          </w:p>
        </w:tc>
      </w:tr>
      <w:tr>
        <w:tc>
          <w:tcPr>
            <w:tcW w:type="dxa" w:w="4320"/>
          </w:tcPr>
          <w:p>
            <w:r>
              <w:t>Lamouroux 2024/25 fMRIStroke</w:t>
            </w:r>
          </w:p>
        </w:tc>
        <w:tc>
          <w:tcPr>
            <w:tcW w:type="dxa" w:w="4320"/>
          </w:tcPr>
          <w:p>
            <w:r>
              <w:t>fMRI sensitivity stream citation</w:t>
            </w:r>
          </w:p>
        </w:tc>
      </w:tr>
      <w:tr>
        <w:tc>
          <w:tcPr>
            <w:tcW w:type="dxa" w:w="4320"/>
          </w:tcPr>
          <w:p>
            <w:r>
              <w:t>Radwan 2023 TBI VBG+ACT</w:t>
            </w:r>
          </w:p>
        </w:tc>
        <w:tc>
          <w:tcPr>
            <w:tcW w:type="dxa" w:w="4320"/>
          </w:tcPr>
          <w:p>
            <w:r>
              <w:t>Small-N TBI patient-specific precedent</w:t>
            </w:r>
          </w:p>
        </w:tc>
      </w:tr>
    </w:tbl>
    <w:p/>
    <w:p>
      <w:r>
        <w:t>Full maps: prior_work_novelty.md · ../LQT.md · ../Griffis_later.md.</w:t>
      </w:r>
    </w:p>
    <w:p/>
    <w:p>
      <w:pPr>
        <w:pStyle w:val="Heading2"/>
      </w:pPr>
      <w:r>
        <w:t>Immediate next steps</w:t>
      </w:r>
    </w:p>
    <w:p>
      <w:pPr>
        <w:pStyle w:val="ListNumber"/>
      </w:pPr>
      <w:r>
        <w:t xml:space="preserve">Run </w:t>
      </w:r>
      <w:r>
        <w:rPr>
          <w:b/>
        </w:rPr>
        <w:t>LQT</w:t>
      </w:r>
      <w:r>
        <w:t xml:space="preserve"> (± BCB) on pilot + cohort subset → </w:t>
      </w:r>
      <w:r>
        <w:rPr>
          <w:rFonts w:ascii="Courier New" w:hAnsi="Courier New"/>
        </w:rPr>
        <w:t>analysis/paper2b/compare_sdc_methods.py</w:t>
      </w:r>
      <w:r>
        <w:t>.</w:t>
      </w:r>
    </w:p>
    <w:p>
      <w:pPr>
        <w:pStyle w:val="ListNumber"/>
      </w:pPr>
      <w:r>
        <w:t xml:space="preserve">Scale </w:t>
      </w:r>
      <w:r>
        <w:rPr>
          <w:b/>
        </w:rPr>
        <w:t>imaging cohort</w:t>
      </w:r>
      <w:r>
        <w:t xml:space="preserve"> (same lesion-mask inclusion as Paper 1 / 2).</w:t>
      </w:r>
    </w:p>
    <w:p>
      <w:pPr>
        <w:pStyle w:val="ListNumber"/>
      </w:pPr>
      <w:r>
        <w:rPr>
          <w:b/>
        </w:rPr>
        <w:t>Lock</w:t>
      </w:r>
      <w:r>
        <w:t xml:space="preserve"> analysis_plan.md before group-level inference.</w:t>
      </w:r>
    </w:p>
    <w:p>
      <w:pPr>
        <w:pStyle w:val="ListNumber"/>
      </w:pPr>
      <w:r>
        <w:t>Populate imaging_cohort_tracker.md.</w:t>
      </w:r>
    </w:p>
    <w:p>
      <w:pPr>
        <w:pStyle w:val="ListNumber"/>
      </w:pPr>
      <w:r>
        <w:t xml:space="preserve">Execute </w:t>
      </w:r>
      <w:r>
        <w:rPr>
          <w:rFonts w:ascii="Courier New" w:hAnsi="Courier New"/>
        </w:rPr>
        <w:t>run_paper2b_analysis.sh</w:t>
      </w:r>
      <w:r>
        <w:t xml:space="preserve"> → </w:t>
      </w:r>
      <w:r>
        <w:rPr>
          <w:rFonts w:ascii="Courier New" w:hAnsi="Courier New"/>
        </w:rPr>
        <w:t>$OUT_ROOT/analysis/paper2b/</w:t>
      </w:r>
      <w:r>
        <w:t>.</w:t>
      </w:r>
    </w:p>
    <w:p/>
    <w:p>
      <w:pPr>
        <w:pStyle w:val="Heading2"/>
      </w:pPr>
      <w:r>
        <w:t>See also</w:t>
      </w:r>
    </w:p>
    <w:p>
      <w:pPr>
        <w:pStyle w:val="ListBullet"/>
      </w:pPr>
      <w:r>
        <w:t>../index.md — papers workspace</w:t>
      </w:r>
    </w:p>
    <w:p>
      <w:pPr>
        <w:pStyle w:val="ListBullet"/>
      </w:pPr>
      <w:r>
        <w:t>../disconnectome/index.md — Paper 2 (full)</w:t>
      </w:r>
    </w:p>
    <w:p>
      <w:pPr>
        <w:pStyle w:val="ListBullet"/>
      </w:pPr>
      <w:r>
        <w:t>../publication_strategy.md — portfolio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