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2B — LQT batch (placeholder)</w:t>
      </w:r>
    </w:p>
    <w:p>
      <w:r>
        <w:rPr>
          <w:b/>
        </w:rPr>
        <w:t>Status:</w:t>
      </w:r>
      <w:r>
        <w:t xml:space="preserve"> not run. RQ1 (patient-specific vs normative SDC) </w:t>
      </w:r>
      <w:r>
        <w:rPr>
          <w:b/>
        </w:rPr>
        <w:t>requires</w:t>
      </w:r>
      <w:r>
        <w:t xml:space="preserve"> this step.</w:t>
      </w:r>
    </w:p>
    <w:p>
      <w:pPr>
        <w:pStyle w:val="Heading2"/>
      </w:pPr>
      <w:r>
        <w:t>Expected output layout</w:t>
      </w:r>
    </w:p>
    <w:p>
      <w:r>
        <w:t>After batch LQT on the same lesion masks as Paper 2B cohort:</w:t>
      </w:r>
    </w:p>
    <w:p>
      <w:r>
        <w:rPr>
          <w:rFonts w:ascii="Courier New" w:hAnsi="Courier New"/>
          <w:sz w:val="18"/>
        </w:rPr>
        <w:t>$LQT_DIR/</w:t>
        <w:br/>
        <w:t xml:space="preserve">  sub-TBI011011/</w:t>
        <w:br/>
        <w:t xml:space="preserve">    lqt_disconnection_matrix.csv   # 78×78, DKT-78 order (match DWI disconnectome)</w:t>
      </w:r>
    </w:p>
    <w:p>
      <w:r>
        <w:t xml:space="preserve">Point </w:t>
      </w:r>
      <w:r>
        <w:rPr>
          <w:rFonts w:ascii="Courier New" w:hAnsi="Courier New"/>
        </w:rPr>
        <w:t>run_paper2b_analysis.sh</w:t>
      </w:r>
      <w:r>
        <w:t xml:space="preserve"> at the directory:</w:t>
      </w:r>
    </w:p>
    <w:p>
      <w:r>
        <w:rPr>
          <w:rFonts w:ascii="Courier New" w:hAnsi="Courier New"/>
          <w:sz w:val="18"/>
        </w:rPr>
        <w:t>export LQT_DIR=/path/to/lqt_outputs</w:t>
        <w:br/>
        <w:t>bash dwi_pipeline/analysis/paper2b/run_paper2b_analysis.sh</w:t>
      </w:r>
    </w:p>
    <w:p>
      <w:pPr>
        <w:pStyle w:val="Heading2"/>
      </w:pPr>
      <w:r>
        <w:t>SLURM (pilot 7)</w:t>
      </w:r>
    </w:p>
    <w:p>
      <w:r>
        <w:rPr>
          <w:rFonts w:ascii="Courier New" w:hAnsi="Courier New"/>
          <w:sz w:val="18"/>
        </w:rPr>
        <w:t>cd /path/to/TrackTBI-Sub</w:t>
        <w:br/>
        <w:t>sbatch dwi_pipeline/analysis/paper2b/submit_lqt_batch.slurm</w:t>
        <w:br/>
        <w:t># After LQT install:</w:t>
        <w:br/>
        <w:t>sbatch --export=ALL,LQT_ROOT=/path/to/lesion-quantification-toolkit \</w:t>
        <w:br/>
        <w:t xml:space="preserve">  dwi_pipeline/analysis/paper2b/submit_lqt_batch.slurm</w:t>
      </w:r>
    </w:p>
    <w:p>
      <w:r>
        <w:t xml:space="preserve">MNI lesion warps use fMRIPrep </w:t>
      </w:r>
      <w:r>
        <w:rPr>
          <w:rFonts w:ascii="Courier New" w:hAnsi="Courier New"/>
        </w:rPr>
        <w:t>from-T1w_to-MNI152NLin6Asym</w:t>
      </w:r>
      <w:r>
        <w:t xml:space="preserve"> + disconnectome </w:t>
      </w:r>
      <w:r>
        <w:rPr>
          <w:rFonts w:ascii="Courier New" w:hAnsi="Courier New"/>
        </w:rPr>
        <w:t>lesion_binary_t1w.nii.gz</w:t>
      </w:r>
      <w:r>
        <w:t xml:space="preserve"> (</w:t>
      </w:r>
      <w:r>
        <w:rPr>
          <w:rFonts w:ascii="Courier New" w:hAnsi="Courier New"/>
        </w:rPr>
        <w:t>prepare_lesion_mni_for_lqt.sh</w:t>
      </w:r>
      <w:r>
        <w:t>).</w:t>
      </w:r>
    </w:p>
    <w:p>
      <w:pPr>
        <w:pStyle w:val="Heading2"/>
      </w:pPr>
      <w:r>
        <w:t>References</w:t>
      </w:r>
    </w:p>
    <w:p>
      <w:pPr>
        <w:pStyle w:val="ListBullet"/>
      </w:pPr>
      <w:r>
        <w:t>Tool: Griffis 2021 LQT — ../LQT.md</w:t>
      </w:r>
    </w:p>
    <w:p>
      <w:pPr>
        <w:pStyle w:val="ListBullet"/>
      </w:pPr>
      <w:r>
        <w:t>MNI lesion normalization: extend existing pipeline registration docs</w:t>
      </w:r>
    </w:p>
    <w:p>
      <w:pPr>
        <w:pStyle w:val="Heading2"/>
      </w:pPr>
      <w:r>
        <w:t>BCB (optional RQ4)</w:t>
      </w:r>
    </w:p>
    <w:p>
      <w:r>
        <w:t>Voxel-level BCB maps → parcel aggregation to DKT-78; not wired in scripts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