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manuscript skeleton</w:t>
      </w:r>
    </w:p>
    <w:p>
      <w:r>
        <w:rPr>
          <w:b/>
        </w:rPr>
        <w:t>Framing:</w:t>
      </w:r>
      <w:r>
        <w:t xml:space="preserve"> imaging / methods only — </w:t>
      </w:r>
      <w:r>
        <w:rPr>
          <w:b/>
        </w:rPr>
        <w:t>no Results on GOSE.</w:t>
      </w:r>
    </w:p>
    <w:p>
      <w:r>
        <w:rPr>
          <w:b/>
        </w:rPr>
        <w:t>Related:</w:t>
      </w:r>
      <w:r>
        <w:t xml:space="preserve"> paper2b_abstract.md · ../journal_tier.md §1 (NeuroImage methods)</w:t>
      </w:r>
    </w:p>
    <w:p/>
    <w:p>
      <w:pPr>
        <w:pStyle w:val="Heading2"/>
      </w:pPr>
      <w:r>
        <w:t>Title</w:t>
      </w:r>
    </w:p>
    <w:p>
      <w:r>
        <w:rPr>
          <w:b/>
        </w:rPr>
        <w:t>Locked:</w:t>
      </w:r>
      <w:r>
        <w:t xml:space="preserve"> _______________________________</w:t>
      </w:r>
    </w:p>
    <w:p/>
    <w:p>
      <w:pPr>
        <w:pStyle w:val="Heading2"/>
      </w:pPr>
      <w:r>
        <w:t>Abstract (~250 words)</w:t>
      </w:r>
    </w:p>
    <w:p>
      <w:r>
        <w:t>See paper2b_abstract.md.</w:t>
      </w:r>
    </w:p>
    <w:p/>
    <w:p>
      <w:pPr>
        <w:pStyle w:val="Heading2"/>
      </w:pPr>
      <w:r>
        <w:t>Introduction (~1000 words)</w:t>
      </w:r>
    </w:p>
    <w:p>
      <w:pPr>
        <w:pStyle w:val="ListNumber"/>
      </w:pPr>
      <w:r>
        <w:t>Focal TBI → network dysfunction; SDC as intermediate variable (cite Griffis 2019 briefly — stroke).</w:t>
      </w:r>
    </w:p>
    <w:p>
      <w:pPr>
        <w:pStyle w:val="ListNumber"/>
      </w:pPr>
      <w:r>
        <w:t>Normative-atlas SDC (LQT, BCB) — scalable, dominant practice.</w:t>
      </w:r>
    </w:p>
    <w:p>
      <w:pPr>
        <w:pStyle w:val="ListNumber"/>
      </w:pPr>
      <w:r>
        <w:t>TBI breaks template assumptions (mass effect, bilateral, oedema).</w:t>
      </w:r>
    </w:p>
    <w:p>
      <w:pPr>
        <w:pStyle w:val="ListNumber"/>
      </w:pPr>
      <w:r>
        <w:t xml:space="preserve">Patient-specific lesion-aware tractography (LeAPP, Radwan) — feasible but rarely benchmarked vs LQT </w:t>
      </w:r>
      <w:r>
        <w:rPr>
          <w:b/>
        </w:rPr>
        <w:t>in same TBI subjects</w:t>
      </w:r>
      <w:r>
        <w:t>.</w:t>
      </w:r>
    </w:p>
    <w:p>
      <w:pPr>
        <w:pStyle w:val="ListNumber"/>
      </w:pPr>
      <w:r>
        <w:t xml:space="preserve">Functional disconnection (Arm B) as </w:t>
      </w:r>
      <w:r>
        <w:rPr>
          <w:b/>
        </w:rPr>
        <w:t>downstream imaging validation</w:t>
      </w:r>
      <w:r>
        <w:t xml:space="preserve"> without clinical outcomes.</w:t>
      </w:r>
    </w:p>
    <w:p>
      <w:pPr>
        <w:pStyle w:val="ListNumber"/>
      </w:pPr>
      <w:r>
        <w:rPr>
          <w:b/>
        </w:rPr>
        <w:t>Aims:</w:t>
      </w:r>
      <w:r>
        <w:t xml:space="preserve"> RQ1–RQ3 from planning.md.</w:t>
      </w:r>
    </w:p>
    <w:p/>
    <w:p>
      <w:pPr>
        <w:pStyle w:val="Heading2"/>
      </w:pPr>
      <w:r>
        <w:t>Methods (~2500 words)</w:t>
      </w:r>
    </w:p>
    <w:p>
      <w:pPr>
        <w:pStyle w:val="ListNumber"/>
      </w:pPr>
      <w:r>
        <w:rPr>
          <w:b/>
        </w:rPr>
        <w:t>Cohort</w:t>
      </w:r>
      <w:r>
        <w:t xml:space="preserve"> — inclusion: lesion ROI, ses-2WK DWI + rs-fMRI; N and exclusions.</w:t>
      </w:r>
    </w:p>
    <w:p>
      <w:pPr>
        <w:pStyle w:val="ListNumber"/>
      </w:pPr>
      <w:r>
        <w:rPr>
          <w:b/>
        </w:rPr>
        <w:t>Patient-specific SDC</w:t>
      </w:r>
      <w:r>
        <w:t xml:space="preserve"> — neurolit-lesion arm, Step 4.1, DKT-78, Option C policy.</w:t>
      </w:r>
    </w:p>
    <w:p>
      <w:pPr>
        <w:pStyle w:val="ListNumber"/>
      </w:pPr>
      <w:r>
        <w:rPr>
          <w:b/>
        </w:rPr>
        <w:t>LQT</w:t>
      </w:r>
      <w:r>
        <w:t xml:space="preserve"> — version, MNI lesion, parcellation alignment to DKT-78.</w:t>
      </w:r>
    </w:p>
    <w:p>
      <w:pPr>
        <w:pStyle w:val="ListNumber"/>
      </w:pPr>
      <w:r>
        <w:rPr>
          <w:b/>
        </w:rPr>
        <w:t>BCB (optional)</w:t>
      </w:r>
      <w:r>
        <w:t xml:space="preserve"> — voxel maps → parcel aggregates.</w:t>
      </w:r>
    </w:p>
    <w:p>
      <w:pPr>
        <w:pStyle w:val="ListNumber"/>
      </w:pPr>
      <w:r>
        <w:rPr>
          <w:b/>
        </w:rPr>
        <w:t>rs-fMRI</w:t>
      </w:r>
      <w:r>
        <w:t xml:space="preserve"> — fMRIPrep, XCP-D primary; fMRIStroke sensitivity; DKT Arm B; lesion spared FC.</w:t>
      </w:r>
    </w:p>
    <w:p>
      <w:pPr>
        <w:pStyle w:val="ListNumber"/>
      </w:pPr>
      <w:r>
        <w:rPr>
          <w:b/>
        </w:rPr>
        <w:t>Statistics</w:t>
      </w:r>
      <w:r>
        <w:t xml:space="preserve"> — edge-wise r, cohort summaries, SC↔FC association comparison, permutation/bootstrap (lock in analysis plan).</w:t>
      </w:r>
    </w:p>
    <w:p>
      <w:pPr>
        <w:pStyle w:val="ListNumber"/>
      </w:pPr>
      <w:r>
        <w:rPr>
          <w:b/>
        </w:rPr>
        <w:t>Reproducibility</w:t>
      </w:r>
      <w:r>
        <w:t xml:space="preserve"> — containers, </w:t>
      </w:r>
      <w:r>
        <w:rPr>
          <w:rFonts w:ascii="Courier New" w:hAnsi="Courier New"/>
        </w:rPr>
        <w:t>analysis/paper2b/</w:t>
      </w:r>
      <w:r>
        <w:t>, provenance JSON.</w:t>
      </w:r>
    </w:p>
    <w:p/>
    <w:p>
      <w:pPr>
        <w:pStyle w:val="Heading2"/>
      </w:pPr>
      <w:r>
        <w:t>Results (~2000 words)</w:t>
      </w:r>
    </w:p>
    <w:p>
      <w:pPr>
        <w:pStyle w:val="ListBullet"/>
      </w:pPr>
      <w:r>
        <w:rPr>
          <w:b/>
        </w:rPr>
        <w:t>Table 1</w:t>
      </w:r>
      <w:r>
        <w:t xml:space="preserve"> — imaging cohort demographics (age/sex if available from BIDS/participants.tsv only — </w:t>
      </w:r>
      <w:r>
        <w:rPr>
          <w:b/>
        </w:rPr>
        <w:t>not</w:t>
      </w:r>
      <w:r>
        <w:t xml:space="preserve"> GOSE).</w:t>
      </w:r>
    </w:p>
    <w:p>
      <w:pPr>
        <w:pStyle w:val="ListBullet"/>
      </w:pPr>
      <w:r>
        <w:rPr>
          <w:b/>
        </w:rPr>
        <w:t>Figure 1</w:t>
      </w:r>
      <w:r>
        <w:t xml:space="preserve"> — pipeline schematic (patient-specific vs LQT vs Arm B).</w:t>
      </w:r>
    </w:p>
    <w:p>
      <w:pPr>
        <w:pStyle w:val="ListBullet"/>
      </w:pPr>
      <w:r>
        <w:rPr>
          <w:b/>
        </w:rPr>
        <w:t>Figure 2</w:t>
      </w:r>
      <w:r>
        <w:t xml:space="preserve"> — representative subject: lesion, patient D, LQT D, Arm B.</w:t>
      </w:r>
    </w:p>
    <w:p>
      <w:pPr>
        <w:pStyle w:val="ListBullet"/>
      </w:pPr>
      <w:r>
        <w:rPr>
          <w:b/>
        </w:rPr>
        <w:t>Figure 3</w:t>
      </w:r>
      <w:r>
        <w:t xml:space="preserve"> — cohort distribution of patient-specific vs LQT edge correlation.</w:t>
      </w:r>
    </w:p>
    <w:p>
      <w:pPr>
        <w:pStyle w:val="ListBullet"/>
      </w:pPr>
      <w:r>
        <w:rPr>
          <w:b/>
        </w:rPr>
        <w:t>Figure 4</w:t>
      </w:r>
      <w:r>
        <w:t xml:space="preserve"> — lesion volume (or oedema) vs divergence.</w:t>
      </w:r>
    </w:p>
    <w:p>
      <w:pPr>
        <w:pStyle w:val="ListBullet"/>
      </w:pPr>
      <w:r>
        <w:rPr>
          <w:b/>
        </w:rPr>
        <w:t>Figure 5</w:t>
      </w:r>
      <w:r>
        <w:t xml:space="preserve"> — SC↔FC association: patient-specific vs LQT (per subject or cohort summary).</w:t>
      </w:r>
    </w:p>
    <w:p>
      <w:pPr>
        <w:pStyle w:val="ListBullet"/>
      </w:pPr>
      <w:r>
        <w:rPr>
          <w:b/>
        </w:rPr>
        <w:t>Table 2</w:t>
      </w:r>
      <w:r>
        <w:t xml:space="preserve"> — stratified divergence (location / bilaterality).</w:t>
      </w:r>
    </w:p>
    <w:p>
      <w:pPr>
        <w:pStyle w:val="ListBullet"/>
      </w:pPr>
      <w:r>
        <w:rPr>
          <w:b/>
        </w:rPr>
        <w:t>Supplement</w:t>
      </w:r>
      <w:r>
        <w:t xml:space="preserve"> — fMRI stream agreement; BOLD provenance; BCB concordance if run.</w:t>
      </w:r>
    </w:p>
    <w:p/>
    <w:p>
      <w:pPr>
        <w:pStyle w:val="Heading2"/>
      </w:pPr>
      <w:r>
        <w:t>Discussion (~1200 words)</w:t>
      </w:r>
    </w:p>
    <w:p>
      <w:pPr>
        <w:pStyle w:val="ListNumber"/>
      </w:pPr>
      <w:r>
        <w:t>When normative SDC fails in TBI.</w:t>
      </w:r>
    </w:p>
    <w:p>
      <w:pPr>
        <w:pStyle w:val="ListNumber"/>
      </w:pPr>
      <w:r>
        <w:t>Relation to stroke literature (Griffis — mechanism without claiming recovery).</w:t>
      </w:r>
    </w:p>
    <w:p>
      <w:pPr>
        <w:pStyle w:val="ListNumber"/>
      </w:pPr>
      <w:r>
        <w:t>SC↔FC coupling interpretation and limitations (edge vs network level).</w:t>
      </w:r>
    </w:p>
    <w:p>
      <w:pPr>
        <w:pStyle w:val="ListNumber"/>
      </w:pPr>
      <w:r>
        <w:t>Recommendations for connectome studies (report comparator choice).</w:t>
      </w:r>
    </w:p>
    <w:p>
      <w:pPr>
        <w:pStyle w:val="ListNumber"/>
      </w:pPr>
      <w:r>
        <w:rPr>
          <w:b/>
        </w:rPr>
        <w:t>Limitations:</w:t>
      </w:r>
      <w:r>
        <w:t xml:space="preserve"> N, single-site pilot, LQT parcellation mismatch risks, fMRIPrep BOLD fallback.</w:t>
      </w:r>
    </w:p>
    <w:p>
      <w:pPr>
        <w:pStyle w:val="ListNumber"/>
      </w:pPr>
      <w:r>
        <w:rPr>
          <w:b/>
        </w:rPr>
        <w:t>Future:</w:t>
      </w:r>
      <w:r>
        <w:t xml:space="preserve"> Paper 2 outcomes extension; cohort scale.</w:t>
      </w:r>
    </w:p>
    <w:p/>
    <w:p>
      <w:pPr>
        <w:pStyle w:val="Heading2"/>
      </w:pPr>
      <w:r>
        <w:t>Data and code</w:t>
      </w:r>
    </w:p>
    <w:p>
      <w:pPr>
        <w:pStyle w:val="ListBullet"/>
      </w:pPr>
      <w:r>
        <w:t xml:space="preserve">BIDS derivatives path; GitHub tag; LQT version; </w:t>
      </w:r>
      <w:r>
        <w:rPr>
          <w:rFonts w:ascii="Courier New" w:hAnsi="Courier New"/>
        </w:rPr>
        <w:t>run_paper2b_analysis.sh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