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Paper 2B — working abstract (pre-results)</w:t>
      </w:r>
    </w:p>
    <w:p>
      <w:r>
        <w:rPr>
          <w:b/>
        </w:rPr>
        <w:t>Status:</w:t>
      </w:r>
      <w:r>
        <w:t xml:space="preserve"> DRAFT for PI review · </w:t>
      </w:r>
      <w:r>
        <w:rPr>
          <w:b/>
        </w:rPr>
        <w:t>Target:</w:t>
      </w:r>
      <w:r>
        <w:t xml:space="preserve"> </w:t>
      </w:r>
      <w:r>
        <w:rPr>
          <w:i/>
        </w:rPr>
        <w:t>NeuroImage</w:t>
      </w:r>
      <w:r>
        <w:t xml:space="preserve"> / </w:t>
      </w:r>
      <w:r>
        <w:rPr>
          <w:i/>
        </w:rPr>
        <w:t>HBM</w:t>
      </w:r>
    </w:p>
    <w:p>
      <w:r>
        <w:rPr>
          <w:b/>
        </w:rPr>
        <w:t>Related:</w:t>
      </w:r>
      <w:r>
        <w:t xml:space="preserve"> planning.md · index.md</w:t>
      </w:r>
    </w:p>
    <w:p/>
    <w:p>
      <w:pPr>
        <w:pStyle w:val="Heading2"/>
      </w:pPr>
      <w:r>
        <w:t>Working title</w:t>
      </w:r>
    </w:p>
    <w:p>
      <w:r>
        <w:rPr>
          <w:i/>
        </w:rPr>
        <w:t>Patient-specific lesion-aware disconnectomes in traumatic brain injury: comparison with normative-atlas tools and coupling to resting-state functional disconnection</w:t>
      </w:r>
    </w:p>
    <w:p/>
    <w:p>
      <w:pPr>
        <w:pStyle w:val="Heading2"/>
      </w:pPr>
      <w:r>
        <w:t>Abstract (~250 words)</w:t>
      </w:r>
    </w:p>
    <w:p>
      <w:r>
        <w:rPr>
          <w:b/>
        </w:rPr>
        <w:t>Background.</w:t>
      </w:r>
      <w:r>
        <w:t xml:space="preserve"> Structural disconnection (SDC) quantifies how focal lesions interrupt white-matter pathways. Clinical and computational studies often use </w:t>
      </w:r>
      <w:r>
        <w:rPr>
          <w:b/>
        </w:rPr>
        <w:t>normative-atlas</w:t>
      </w:r>
      <w:r>
        <w:t xml:space="preserve"> tools (Lesion Quantification Toolkit, BCBtoolkit) that overlay lesions on healthy tractography templates. In </w:t>
      </w:r>
      <w:r>
        <w:rPr>
          <w:b/>
        </w:rPr>
        <w:t>traumatic brain injury</w:t>
      </w:r>
      <w:r>
        <w:t xml:space="preserve">, mass effect, oedema, and bilateral injury deform individual anatomy, potentially violating template assumptions. </w:t>
      </w:r>
      <w:r>
        <w:rPr>
          <w:b/>
        </w:rPr>
        <w:t>Patient-specific</w:t>
      </w:r>
      <w:r>
        <w:t xml:space="preserve"> SDC from lesion-aware diffusion MRI tractography avoids template anatomy but is less often benchmarked against normative tools in the same cohort.</w:t>
      </w:r>
    </w:p>
    <w:p>
      <w:r>
        <w:rPr>
          <w:b/>
        </w:rPr>
        <w:t>Methods.</w:t>
      </w:r>
      <w:r>
        <w:t xml:space="preserve"> In [N] adults with clinician-traced TBI lesions ([visit]), we computed SDC using (1) our </w:t>
      </w:r>
      <w:r>
        <w:rPr>
          <w:b/>
        </w:rPr>
        <w:t>patient-specific lesion-aware</w:t>
      </w:r>
      <w:r>
        <w:t xml:space="preserve"> pipeline (fixed </w:t>
      </w:r>
      <w:r>
        <w:rPr>
          <w:rFonts w:ascii="Courier New" w:hAnsi="Courier New"/>
        </w:rPr>
        <w:t>neurolit-lesion</w:t>
      </w:r>
      <w:r>
        <w:t xml:space="preserve"> arm, DKT-78) and (2) </w:t>
      </w:r>
      <w:r>
        <w:rPr>
          <w:b/>
        </w:rPr>
        <w:t>LQT</w:t>
      </w:r>
      <w:r>
        <w:t xml:space="preserve"> normative-atlas SDC on registered lesion masks. Resting-state fMRI was processed with fMRIPrep and XCP-D; </w:t>
      </w:r>
      <w:r>
        <w:rPr>
          <w:b/>
        </w:rPr>
        <w:t>empirical functional disconnection</w:t>
      </w:r>
      <w:r>
        <w:t xml:space="preserve"> (Arm B) was derived on the same DKT-78 graph with lesion-aware spared connectivity. We quantified edge-wise agreement between SDC methods, lesion-feature moderators of disagreement, and association strength between structural and functional disconnection (patient-specific vs LQT). fMRIStroke denoising was a pre-specified sensitivity stream.</w:t>
      </w:r>
    </w:p>
    <w:p>
      <w:r>
        <w:rPr>
          <w:b/>
        </w:rPr>
        <w:t>Results.</w:t>
      </w:r>
      <w:r>
        <w:t xml:space="preserve"> [Placeholder: distribution of patient-specific vs LQT correlations; fraction with substantial divergence; SC↔FC association comparison; representative cases.]</w:t>
      </w:r>
    </w:p>
    <w:p>
      <w:r>
        <w:rPr>
          <w:b/>
        </w:rPr>
        <w:t>Interpretation.</w:t>
      </w:r>
      <w:r>
        <w:t xml:space="preserve"> [Placeholder: when normative SDC is adequate vs when patient-specific DWI SDC is required in TBI; implications for connectome studies that do not report comparator choice. </w:t>
      </w:r>
      <w:r>
        <w:rPr>
          <w:b/>
        </w:rPr>
        <w:t>No clinical outcome claims.</w:t>
      </w:r>
      <w:r>
        <w:t>]</w:t>
      </w:r>
    </w:p>
    <w:p/>
    <w:p>
      <w:pPr>
        <w:pStyle w:val="Heading2"/>
      </w:pPr>
      <w:r>
        <w:t>Is / is-not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This paper **is**</w:t>
            </w:r>
          </w:p>
        </w:tc>
        <w:tc>
          <w:tcPr>
            <w:tcW w:type="dxa" w:w="4320"/>
          </w:tcPr>
          <w:p>
            <w:r>
              <w:t>This paper **is not**</w:t>
            </w:r>
          </w:p>
        </w:tc>
      </w:tr>
      <w:tr>
        <w:tc>
          <w:tcPr>
            <w:tcW w:type="dxa" w:w="4320"/>
          </w:tcPr>
          <w:p>
            <w:r>
              <w:t>Methods head-to-head in TBI</w:t>
            </w:r>
          </w:p>
        </w:tc>
        <w:tc>
          <w:tcPr>
            <w:tcW w:type="dxa" w:w="4320"/>
          </w:tcPr>
          <w:p>
            <w:r>
              <w:t>GOSE / neuropsych prediction paper</w:t>
            </w:r>
          </w:p>
        </w:tc>
      </w:tr>
      <w:tr>
        <w:tc>
          <w:tcPr>
            <w:tcW w:type="dxa" w:w="4320"/>
          </w:tcPr>
          <w:p>
            <w:r>
              <w:t>SC ↔ empirical FC mechanism</w:t>
            </w:r>
          </w:p>
        </w:tc>
        <w:tc>
          <w:tcPr>
            <w:tcW w:type="dxa" w:w="4320"/>
          </w:tcPr>
          <w:p>
            <w:r>
              <w:t>Full Griffis behavior chain</w:t>
            </w:r>
          </w:p>
        </w:tc>
      </w:tr>
      <w:tr>
        <w:tc>
          <w:tcPr>
            <w:tcW w:type="dxa" w:w="4320"/>
          </w:tcPr>
          <w:p>
            <w:r>
              <w:t>Honest negative result if LQT ≈ patient-specific</w:t>
            </w:r>
          </w:p>
        </w:tc>
        <w:tc>
          <w:tcPr>
            <w:tcW w:type="dxa" w:w="4320"/>
          </w:tcPr>
          <w:p>
            <w:r>
              <w:t>Paper 1 factorial anatomy study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