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Paper 2B — prior work and novelty (imaging-only)</w:t>
      </w:r>
    </w:p>
    <w:p>
      <w:r>
        <w:rPr>
          <w:b/>
        </w:rPr>
        <w:t>As-of:</w:t>
      </w:r>
      <w:r>
        <w:t xml:space="preserve"> 2026-10-07 · </w:t>
      </w:r>
      <w:r>
        <w:rPr>
          <w:b/>
        </w:rPr>
        <w:t>Related:</w:t>
      </w:r>
      <w:r>
        <w:t xml:space="preserve"> planning.md ·</w:t>
      </w:r>
    </w:p>
    <w:p>
      <w:r>
        <w:t>../disconnectome/prior_work_novelty.md (Paper 2 full)</w:t>
      </w:r>
    </w:p>
    <w:p/>
    <w:p>
      <w:pPr>
        <w:pStyle w:val="Heading2"/>
      </w:pPr>
      <w:r>
        <w:t>Thesis (one sentence)</w:t>
      </w:r>
    </w:p>
    <w:p>
      <w:r>
        <w:t xml:space="preserve">Normative-atlas SDC is widely used after focal lesions, but in </w:t>
      </w:r>
      <w:r>
        <w:rPr>
          <w:b/>
        </w:rPr>
        <w:t>TBI</w:t>
      </w:r>
      <w:r>
        <w:t xml:space="preserve"> </w:t>
      </w:r>
      <w:r>
        <w:rPr>
          <w:b/>
        </w:rPr>
        <w:t>patient-specific lesion-aware SDC</w:t>
      </w:r>
      <w:r>
        <w:t xml:space="preserve"> may diverge systematically and </w:t>
      </w:r>
      <w:r>
        <w:rPr>
          <w:b/>
        </w:rPr>
        <w:t>track empirical functional disconnection</w:t>
      </w:r>
      <w:r>
        <w:t xml:space="preserve"> better — a </w:t>
      </w:r>
      <w:r>
        <w:rPr>
          <w:b/>
        </w:rPr>
        <w:t>methods/mechanism</w:t>
      </w:r>
      <w:r>
        <w:t xml:space="preserve"> claim that does </w:t>
      </w:r>
      <w:r>
        <w:rPr>
          <w:b/>
        </w:rPr>
        <w:t>not</w:t>
      </w:r>
      <w:r>
        <w:t xml:space="preserve"> require outcome prediction.</w:t>
      </w:r>
    </w:p>
    <w:p/>
    <w:p>
      <w:pPr>
        <w:pStyle w:val="Heading2"/>
      </w:pPr>
      <w:r>
        <w:t>Prior work map (2B-relevant rows)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Prior work</w:t>
            </w:r>
          </w:p>
        </w:tc>
        <w:tc>
          <w:tcPr>
            <w:tcW w:type="dxa" w:w="2880"/>
          </w:tcPr>
          <w:p>
            <w:r>
              <w:t>What they did</w:t>
            </w:r>
          </w:p>
        </w:tc>
        <w:tc>
          <w:tcPr>
            <w:tcW w:type="dxa" w:w="2880"/>
          </w:tcPr>
          <w:p>
            <w:r>
              <w:t>2B gap</w:t>
            </w:r>
          </w:p>
        </w:tc>
      </w:tr>
      <w:tr>
        <w:tc>
          <w:tcPr>
            <w:tcW w:type="dxa" w:w="2880"/>
          </w:tcPr>
          <w:p>
            <w:r>
              <w:t>**LQT / Griffis 2021**</w:t>
            </w:r>
          </w:p>
        </w:tc>
        <w:tc>
          <w:tcPr>
            <w:tcW w:type="dxa" w:w="2880"/>
          </w:tcPr>
          <w:p>
            <w:r>
              <w:t>Normative HCP-842 overlay</w:t>
            </w:r>
          </w:p>
        </w:tc>
        <w:tc>
          <w:tcPr>
            <w:tcW w:type="dxa" w:w="2880"/>
          </w:tcPr>
          <w:p>
            <w:r>
              <w:t>Not head-to-head vs patient DWI SDC **in TBI cohort**</w:t>
            </w:r>
          </w:p>
        </w:tc>
      </w:tr>
      <w:tr>
        <w:tc>
          <w:tcPr>
            <w:tcW w:type="dxa" w:w="2880"/>
          </w:tcPr>
          <w:p>
            <w:r>
              <w:t>**BCB / Foulon 2018**</w:t>
            </w:r>
          </w:p>
        </w:tc>
        <w:tc>
          <w:tcPr>
            <w:tcW w:type="dxa" w:w="2880"/>
          </w:tcPr>
          <w:p>
            <w:r>
              <w:t>Voxel normative disconnection</w:t>
            </w:r>
          </w:p>
        </w:tc>
        <w:tc>
          <w:tcPr>
            <w:tcW w:type="dxa" w:w="2880"/>
          </w:tcPr>
          <w:p>
            <w:r>
              <w:t>Same</w:t>
            </w:r>
          </w:p>
        </w:tc>
      </w:tr>
      <w:tr>
        <w:tc>
          <w:tcPr>
            <w:tcW w:type="dxa" w:w="2880"/>
          </w:tcPr>
          <w:p>
            <w:r>
              <w:t>**Griffis 2019**</w:t>
            </w:r>
          </w:p>
        </w:tc>
        <w:tc>
          <w:tcPr>
            <w:tcW w:type="dxa" w:w="2880"/>
          </w:tcPr>
          <w:p>
            <w:r>
              <w:t>SC↔FC (+ behavior in stroke)</w:t>
            </w:r>
          </w:p>
        </w:tc>
        <w:tc>
          <w:tcPr>
            <w:tcW w:type="dxa" w:w="2880"/>
          </w:tcPr>
          <w:p>
            <w:r>
              <w:t>**SC↔FC without behavior in TBI**</w:t>
            </w:r>
          </w:p>
        </w:tc>
      </w:tr>
      <w:tr>
        <w:tc>
          <w:tcPr>
            <w:tcW w:type="dxa" w:w="2880"/>
          </w:tcPr>
          <w:p>
            <w:r>
              <w:t>**LeAPP / Bey 2024**</w:t>
            </w:r>
          </w:p>
        </w:tc>
        <w:tc>
          <w:tcPr>
            <w:tcW w:type="dxa" w:w="2880"/>
          </w:tcPr>
          <w:p>
            <w:r>
              <w:t>Factorial SC preprocessing</w:t>
            </w:r>
          </w:p>
        </w:tc>
        <w:tc>
          <w:tcPr>
            <w:tcW w:type="dxa" w:w="2880"/>
          </w:tcPr>
          <w:p>
            <w:r>
              <w:t>Does not compare to LQT on same subjects</w:t>
            </w:r>
          </w:p>
        </w:tc>
      </w:tr>
      <w:tr>
        <w:tc>
          <w:tcPr>
            <w:tcW w:type="dxa" w:w="2880"/>
          </w:tcPr>
          <w:p>
            <w:r>
              <w:t>**Radwan 2023**</w:t>
            </w:r>
          </w:p>
        </w:tc>
        <w:tc>
          <w:tcPr>
            <w:tcW w:type="dxa" w:w="2880"/>
          </w:tcPr>
          <w:p>
            <w:r>
              <w:t>TBI VBG+ACT N≈5</w:t>
            </w:r>
          </w:p>
        </w:tc>
        <w:tc>
          <w:tcPr>
            <w:tcW w:type="dxa" w:w="2880"/>
          </w:tcPr>
          <w:p>
            <w:r>
              <w:t>No LQT head-to-head at scale</w:t>
            </w:r>
          </w:p>
        </w:tc>
      </w:tr>
      <w:tr>
        <w:tc>
          <w:tcPr>
            <w:tcW w:type="dxa" w:w="2880"/>
          </w:tcPr>
          <w:p>
            <w:r>
              <w:t>**Lamouroux fMRIStroke**</w:t>
            </w:r>
          </w:p>
        </w:tc>
        <w:tc>
          <w:tcPr>
            <w:tcW w:type="dxa" w:w="2880"/>
          </w:tcPr>
          <w:p>
            <w:r>
              <w:t>Stroke FC denoising</w:t>
            </w:r>
          </w:p>
        </w:tc>
        <w:tc>
          <w:tcPr>
            <w:tcW w:type="dxa" w:w="2880"/>
          </w:tcPr>
          <w:p>
            <w:r>
              <w:t>Sensitivity stream only</w:t>
            </w:r>
          </w:p>
        </w:tc>
      </w:tr>
    </w:tbl>
    <w:p/>
    <w:p/>
    <w:p>
      <w:pPr>
        <w:pStyle w:val="Heading2"/>
      </w:pPr>
      <w:r>
        <w:t>Novelty claims (2B only)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#</w:t>
            </w:r>
          </w:p>
        </w:tc>
        <w:tc>
          <w:tcPr>
            <w:tcW w:type="dxa" w:w="2880"/>
          </w:tcPr>
          <w:p>
            <w:r>
              <w:t>Claim</w:t>
            </w:r>
          </w:p>
        </w:tc>
        <w:tc>
          <w:tcPr>
            <w:tcW w:type="dxa" w:w="2880"/>
          </w:tcPr>
          <w:p>
            <w:r>
              <w:t>Evidence required</w:t>
            </w:r>
          </w:p>
        </w:tc>
      </w:tr>
      <w:tr>
        <w:tc>
          <w:tcPr>
            <w:tcW w:type="dxa" w:w="2880"/>
          </w:tcPr>
          <w:p>
            <w:r>
              <w:t>N1</w:t>
            </w:r>
          </w:p>
        </w:tc>
        <w:tc>
          <w:tcPr>
            <w:tcW w:type="dxa" w:w="2880"/>
          </w:tcPr>
          <w:p>
            <w:r>
              <w:t>Quantified **LQT vs patient-specific** divergence in TBI</w:t>
            </w:r>
          </w:p>
        </w:tc>
        <w:tc>
          <w:tcPr>
            <w:tcW w:type="dxa" w:w="2880"/>
          </w:tcPr>
          <w:p>
            <w:r>
              <w:t>Cohort r distribution + lesion moderators</w:t>
            </w:r>
          </w:p>
        </w:tc>
      </w:tr>
      <w:tr>
        <w:tc>
          <w:tcPr>
            <w:tcW w:type="dxa" w:w="2880"/>
          </w:tcPr>
          <w:p>
            <w:r>
              <w:t>N2</w:t>
            </w:r>
          </w:p>
        </w:tc>
        <w:tc>
          <w:tcPr>
            <w:tcW w:type="dxa" w:w="2880"/>
          </w:tcPr>
          <w:p>
            <w:r>
              <w:t>**Patient-specific SC↔FC** stronger than LQT↔FC</w:t>
            </w:r>
          </w:p>
        </w:tc>
        <w:tc>
          <w:tcPr>
            <w:tcW w:type="dxa" w:w="2880"/>
          </w:tcPr>
          <w:p>
            <w:r>
              <w:t>Prespecified comparison of association metrics</w:t>
            </w:r>
          </w:p>
        </w:tc>
      </w:tr>
      <w:tr>
        <w:tc>
          <w:tcPr>
            <w:tcW w:type="dxa" w:w="2880"/>
          </w:tcPr>
          <w:p>
            <w:r>
              <w:t>N3</w:t>
            </w:r>
          </w:p>
        </w:tc>
        <w:tc>
          <w:tcPr>
            <w:tcW w:type="dxa" w:w="2880"/>
          </w:tcPr>
          <w:p>
            <w:r>
              <w:t>**Reproducible pipeline** (containers, DKT-78 alignment, dual fMRI sensitivity)</w:t>
            </w:r>
          </w:p>
        </w:tc>
        <w:tc>
          <w:tcPr>
            <w:tcW w:type="dxa" w:w="2880"/>
          </w:tcPr>
          <w:p>
            <w:r>
              <w:t>Provenance + supplement</w:t>
            </w:r>
          </w:p>
        </w:tc>
      </w:tr>
      <w:tr>
        <w:tc>
          <w:tcPr>
            <w:tcW w:type="dxa" w:w="2880"/>
          </w:tcPr>
          <w:p>
            <w:r>
              <w:t>N4</w:t>
            </w:r>
          </w:p>
        </w:tc>
        <w:tc>
          <w:tcPr>
            <w:tcW w:type="dxa" w:w="2880"/>
          </w:tcPr>
          <w:p>
            <w:r>
              <w:t>**Negative result** if methods agree</w:t>
            </w:r>
          </w:p>
        </w:tc>
        <w:tc>
          <w:tcPr>
            <w:tcW w:type="dxa" w:w="2880"/>
          </w:tcPr>
          <w:p>
            <w:r>
              <w:t>Pre-registered interpretation</w:t>
            </w:r>
          </w:p>
        </w:tc>
      </w:tr>
    </w:tbl>
    <w:p/>
    <w:p>
      <w:r>
        <w:rPr>
          <w:b/>
        </w:rPr>
        <w:t>Not claimed:</w:t>
      </w:r>
      <w:r>
        <w:t xml:space="preserve"> GOSE prediction, domain-specific cognition, Brain-tier mechanism-of-recovery.</w:t>
      </w:r>
    </w:p>
    <w:p/>
    <w:p>
      <w:pPr>
        <w:pStyle w:val="Heading2"/>
      </w:pPr>
      <w:r>
        <w:t>Validation checklist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Claim</w:t>
            </w:r>
          </w:p>
        </w:tc>
        <w:tc>
          <w:tcPr>
            <w:tcW w:type="dxa" w:w="4320"/>
          </w:tcPr>
          <w:p>
            <w:r>
              <w:t>Pass (draft)</w:t>
            </w:r>
          </w:p>
        </w:tc>
      </w:tr>
      <w:tr>
        <w:tc>
          <w:tcPr>
            <w:tcW w:type="dxa" w:w="4320"/>
          </w:tcPr>
          <w:p>
            <w:r>
              <w:t>N1</w:t>
            </w:r>
          </w:p>
        </w:tc>
        <w:tc>
          <w:tcPr>
            <w:tcW w:type="dxa" w:w="4320"/>
          </w:tcPr>
          <w:p>
            <w:r>
              <w:t>≥25% subjects r &lt; 0.7 vs LQT OR publish null with subset analysis</w:t>
            </w:r>
          </w:p>
        </w:tc>
      </w:tr>
      <w:tr>
        <w:tc>
          <w:tcPr>
            <w:tcW w:type="dxa" w:w="4320"/>
          </w:tcPr>
          <w:p>
            <w:r>
              <w:t>N2</w:t>
            </w:r>
          </w:p>
        </w:tc>
        <w:tc>
          <w:tcPr>
            <w:tcW w:type="dxa" w:w="4320"/>
          </w:tcPr>
          <w:p>
            <w:r>
              <w:t>Patient-specific SC↔FC metric &gt; LQT SC↔FC in ≥60% subjects or cohort mean Δ significant (bootstrap)</w:t>
            </w:r>
          </w:p>
        </w:tc>
      </w:tr>
      <w:tr>
        <w:tc>
          <w:tcPr>
            <w:tcW w:type="dxa" w:w="4320"/>
          </w:tcPr>
          <w:p>
            <w:r>
              <w:t>N3</w:t>
            </w:r>
          </w:p>
        </w:tc>
        <w:tc>
          <w:tcPr>
            <w:tcW w:type="dxa" w:w="4320"/>
          </w:tcPr>
          <w:p>
            <w:r>
              <w:t>Public code path + container versions in supplement</w:t>
            </w:r>
          </w:p>
        </w:tc>
      </w:tr>
    </w:tbl>
    <w:p/>
    <w:p/>
    <w:p>
      <w:pPr>
        <w:pStyle w:val="Heading2"/>
      </w:pPr>
      <w:r>
        <w:t>Related work paragraph order</w:t>
      </w:r>
    </w:p>
    <w:p>
      <w:pPr>
        <w:pStyle w:val="ListNumber"/>
      </w:pPr>
      <w:r>
        <w:t>SDC after focal lesions (Griffis stroke).</w:t>
      </w:r>
    </w:p>
    <w:p>
      <w:pPr>
        <w:pStyle w:val="ListNumber"/>
      </w:pPr>
      <w:r>
        <w:t>Dominance of normative tools (LQT, BCB).</w:t>
      </w:r>
    </w:p>
    <w:p>
      <w:pPr>
        <w:pStyle w:val="ListNumber"/>
      </w:pPr>
      <w:r>
        <w:t>TBI anatomy breaks template assumptions.</w:t>
      </w:r>
    </w:p>
    <w:p>
      <w:pPr>
        <w:pStyle w:val="ListNumber"/>
      </w:pPr>
      <w:r>
        <w:t>Patient-specific tractography (LeAPP, Radwan).</w:t>
      </w:r>
    </w:p>
    <w:p>
      <w:pPr>
        <w:pStyle w:val="ListNumber"/>
      </w:pPr>
      <w:r>
        <w:t xml:space="preserve">SC↔FC mechanism (Griffis Fig 2) — </w:t>
      </w:r>
      <w:r>
        <w:rPr>
          <w:b/>
        </w:rPr>
        <w:t>stop before behavior in TBI</w:t>
      </w:r>
      <w:r>
        <w:t>.</w:t>
      </w:r>
    </w:p>
    <w:p>
      <w:pPr>
        <w:pStyle w:val="ListNumber"/>
      </w:pPr>
      <w:r>
        <w:rPr>
          <w:b/>
        </w:rPr>
        <w:t>Present study:</w:t>
      </w:r>
      <w:r>
        <w:t xml:space="preserve"> head-to-head + FC validation, no outcomes.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