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 2B — readiness checklist</w:t>
      </w:r>
    </w:p>
    <w:p>
      <w:r>
        <w:rPr>
          <w:b/>
        </w:rPr>
        <w:t>As-of:</w:t>
      </w:r>
      <w:r>
        <w:t xml:space="preserve"> 2026-10-07</w:t>
      </w:r>
    </w:p>
    <w:p>
      <w:r>
        <w:rPr>
          <w:b/>
        </w:rPr>
        <w:t>Related:</w:t>
      </w:r>
      <w:r>
        <w:t xml:space="preserve"> index.md · ../disconnectome/disconnectome_missing.md</w:t>
      </w:r>
    </w:p>
    <w:p/>
    <w:p>
      <w:pPr>
        <w:pStyle w:val="Heading2"/>
      </w:pPr>
      <w:r>
        <w:t>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</w:tr>
      <w:tr>
        <w:tc>
          <w:tcPr>
            <w:tcW w:type="dxa" w:w="2160"/>
          </w:tcPr>
          <w:p>
            <w:r>
              <w:t>Patient-specific SDC pipeline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fMRI Arm B (dual stream)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⚠️ DKT BOLD fallback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7-subject pilot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Analysis scripts (`analysis/paper2b/`)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**LQT batch**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BCB (optional)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Imaging cohort N ≥ 40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Analysis plan sign-off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⚠️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Manuscript draft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❌</w:t>
            </w:r>
          </w:p>
        </w:tc>
      </w:tr>
    </w:tbl>
    <w:p/>
    <w:p>
      <w:r>
        <w:rPr>
          <w:b/>
        </w:rPr>
        <w:t>No external clinical export required</w:t>
      </w:r>
      <w:r>
        <w:t xml:space="preserve"> for 2B primary analyses.</w:t>
      </w:r>
    </w:p>
    <w:p/>
    <w:p>
      <w:pPr>
        <w:pStyle w:val="Heading2"/>
      </w:pPr>
      <w:r>
        <w:t>Must have before submission</w:t>
      </w:r>
    </w:p>
    <w:p>
      <w:pPr>
        <w:pStyle w:val="Heading3"/>
      </w:pPr>
      <w:r>
        <w:t>Imaging &amp; comparators</w:t>
      </w:r>
    </w:p>
    <w:p>
      <w:pPr>
        <w:pStyle w:val="ListBullet"/>
      </w:pPr>
      <w:r>
        <w:t xml:space="preserve">[ ] </w:t>
      </w:r>
      <w:r>
        <w:rPr>
          <w:b/>
        </w:rPr>
        <w:t>LQT installed</w:t>
      </w:r>
      <w:r>
        <w:t xml:space="preserve"> and run per imaging complete-case subject</w:t>
      </w:r>
    </w:p>
    <w:p>
      <w:pPr>
        <w:pStyle w:val="ListBullet"/>
      </w:pPr>
      <w:r>
        <w:t xml:space="preserve">[ ] </w:t>
      </w:r>
      <w:r>
        <w:rPr>
          <w:b/>
        </w:rPr>
        <w:t>LQT → DKT-78 alignment</w:t>
      </w:r>
      <w:r>
        <w:t xml:space="preserve"> documented (same node order as patient-specific)</w:t>
      </w:r>
    </w:p>
    <w:p>
      <w:pPr>
        <w:pStyle w:val="ListBullet"/>
      </w:pPr>
      <w:r>
        <w:t xml:space="preserve">[ ] </w:t>
      </w:r>
      <w:r>
        <w:rPr>
          <w:b/>
        </w:rPr>
        <w:t>Cohort N</w:t>
      </w:r>
      <w:r>
        <w:t xml:space="preserve"> ≥ locked threshold in analysis_plan.md §8</w:t>
      </w:r>
    </w:p>
    <w:p>
      <w:pPr>
        <w:pStyle w:val="ListBullet"/>
      </w:pPr>
      <w:r>
        <w:t xml:space="preserve">[ ] </w:t>
      </w:r>
      <w:r>
        <w:rPr>
          <w:b/>
        </w:rPr>
        <w:t>Primary SC↔FC metric</w:t>
      </w:r>
      <w:r>
        <w:t xml:space="preserve"> locked (§6.2)</w:t>
      </w:r>
    </w:p>
    <w:p>
      <w:pPr>
        <w:pStyle w:val="ListBullet"/>
      </w:pPr>
      <w:r>
        <w:t xml:space="preserve">[ ] </w:t>
      </w:r>
      <w:r>
        <w:rPr>
          <w:b/>
        </w:rPr>
        <w:t>BOLD provenance</w:t>
      </w:r>
      <w:r>
        <w:t xml:space="preserve"> table in supplement (XCP-D T1w denoised vs fallback)</w:t>
      </w:r>
    </w:p>
    <w:p>
      <w:pPr>
        <w:pStyle w:val="Heading3"/>
      </w:pPr>
      <w:r>
        <w:t>Analysis</w:t>
      </w:r>
    </w:p>
    <w:p>
      <w:pPr>
        <w:pStyle w:val="ListBullet"/>
      </w:pPr>
      <w:r>
        <w:t>[ ] analysis_plan.md signed</w:t>
      </w:r>
    </w:p>
    <w:p>
      <w:pPr>
        <w:pStyle w:val="ListBullet"/>
      </w:pPr>
      <w:r>
        <w:t xml:space="preserve">[ ] </w:t>
      </w:r>
      <w:r>
        <w:rPr>
          <w:rFonts w:ascii="Courier New" w:hAnsi="Courier New"/>
        </w:rPr>
        <w:t>run_paper2b_analysis.sh</w:t>
      </w:r>
      <w:r>
        <w:t xml:space="preserve"> run on full imaging cohort</w:t>
      </w:r>
    </w:p>
    <w:p>
      <w:pPr>
        <w:pStyle w:val="ListBullet"/>
      </w:pPr>
      <w:r>
        <w:t>[ ] imaging_cohort_tracker.md filled</w:t>
      </w:r>
    </w:p>
    <w:p>
      <w:pPr>
        <w:pStyle w:val="Heading3"/>
      </w:pPr>
      <w:r>
        <w:t>Manuscript</w:t>
      </w:r>
    </w:p>
    <w:p>
      <w:pPr>
        <w:pStyle w:val="ListBullet"/>
      </w:pPr>
      <w:r>
        <w:t>[ ] manuscript_skeleton.md drafted</w:t>
      </w:r>
    </w:p>
    <w:p>
      <w:pPr>
        <w:pStyle w:val="ListBullet"/>
      </w:pPr>
      <w:r>
        <w:t>[ ] Figures 1–5 per skeleton</w:t>
      </w:r>
    </w:p>
    <w:p>
      <w:pPr>
        <w:pStyle w:val="ListBullet"/>
      </w:pPr>
      <w:r>
        <w:t>[ ] Code + container availability statement</w:t>
      </w:r>
    </w:p>
    <w:p/>
    <w:p>
      <w:pPr>
        <w:pStyle w:val="Heading2"/>
      </w:pPr>
      <w:r>
        <w:t>Pilot done (2026-10-07)</w:t>
      </w:r>
    </w:p>
    <w:p>
      <w:pPr>
        <w:pStyle w:val="ListBullet"/>
      </w:pPr>
      <w:r>
        <w:t>[x] 7 × 2WK neurolit DWI disconnectome</w:t>
      </w:r>
    </w:p>
    <w:p>
      <w:pPr>
        <w:pStyle w:val="ListBullet"/>
      </w:pPr>
      <w:r>
        <w:t>[x] 7 × 2WK fMRI Arm B (xcp + fmristroke)</w:t>
      </w:r>
    </w:p>
    <w:p>
      <w:pPr>
        <w:pStyle w:val="ListBullet"/>
      </w:pPr>
      <w:r>
        <w:t>[x] Exploratory coupling (</w:t>
      </w:r>
      <w:r>
        <w:rPr>
          <w:rFonts w:ascii="Courier New" w:hAnsi="Courier New"/>
        </w:rPr>
        <w:t>run_pilot_fc_analysis.sh</w:t>
      </w:r>
      <w:r>
        <w:t xml:space="preserve"> → can mirror under </w:t>
      </w:r>
      <w:r>
        <w:rPr>
          <w:rFonts w:ascii="Courier New" w:hAnsi="Courier New"/>
        </w:rPr>
        <w:t>analysis/paper2b/</w:t>
      </w:r>
      <w:r>
        <w:t>)</w:t>
      </w:r>
    </w:p>
    <w:p/>
    <w:p>
      <w:pPr>
        <w:pStyle w:val="Heading2"/>
      </w:pPr>
      <w: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LQT ≈ patient-specific everywhere</w:t>
            </w:r>
          </w:p>
        </w:tc>
        <w:tc>
          <w:tcPr>
            <w:tcW w:type="dxa" w:w="4320"/>
          </w:tcPr>
          <w:p>
            <w:r>
              <w:t>Publish negative methods; subset where they differ</w:t>
            </w:r>
          </w:p>
        </w:tc>
      </w:tr>
      <w:tr>
        <w:tc>
          <w:tcPr>
            <w:tcW w:type="dxa" w:w="4320"/>
          </w:tcPr>
          <w:p>
            <w:r>
              <w:t>SC↔FC weak at edge level</w:t>
            </w:r>
          </w:p>
        </w:tc>
        <w:tc>
          <w:tcPr>
            <w:tcW w:type="dxa" w:w="4320"/>
          </w:tcPr>
          <w:p>
            <w:r>
              <w:t>Emphasize RQ1; frame RQ3 as exploratory until N grows</w:t>
            </w:r>
          </w:p>
        </w:tc>
      </w:tr>
      <w:tr>
        <w:tc>
          <w:tcPr>
            <w:tcW w:type="dxa" w:w="4320"/>
          </w:tcPr>
          <w:p>
            <w:r>
              <w:t>Overlap with Paper 2</w:t>
            </w:r>
          </w:p>
        </w:tc>
        <w:tc>
          <w:tcPr>
            <w:tcW w:type="dxa" w:w="4320"/>
          </w:tcPr>
          <w:p>
            <w:r>
              <w:t>2B = no outcomes; Paper 2 adds GOSE as separate sign-off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