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Builder Review — ILAE × MAGMA pipeline (Mushunuri et al. 2026 style)</w:t>
      </w:r>
    </w:p>
    <w:p>
      <w:r>
        <w:t xml:space="preserve">Evaluation of the Epilepsia methods paper and this workspace’s </w:t>
      </w:r>
      <w:r>
        <w:rPr>
          <w:b/>
        </w:rPr>
        <w:t>gene_epi</w:t>
      </w:r>
      <w:r>
        <w:t xml:space="preserve"> implementation, using the </w:t>
      </w:r>
      <w:r>
        <w:rPr>
          <w:b/>
        </w:rPr>
        <w:t>Inzira Labs Builder Review</w:t>
      </w:r>
      <w:r>
        <w:t xml:space="preserve"> style (usability, reproducibility, performance, generalization, clinical use, interpretability, integration, limitations, builder conclusions). Full rubrics can live locally (Word/Markdown); they need not ship in a minimal repo.</w:t>
      </w:r>
    </w:p>
    <w:p>
      <w:r>
        <w:rPr>
          <w:b/>
        </w:rPr>
        <w:t>Primary reference:</w:t>
      </w:r>
      <w:r>
        <w:t xml:space="preserve"> Mushunuri et al. *Epilepsia* 2026. https://doi.org/10.1111/epi.70021</w:t>
      </w:r>
    </w:p>
    <w:p>
      <w:r>
        <w:rPr>
          <w:b/>
        </w:rPr>
        <w:t>Typical layout:</w:t>
      </w:r>
      <w:r>
        <w:t xml:space="preserve"> `mushunuri_ilae_pipeline/` (numbered scripts, `README.md`, `DATA_ACQUIRED.md`), parent </w:t>
      </w:r>
      <w:r>
        <w:rPr>
          <w:b/>
        </w:rPr>
        <w:t>`./gene`</w:t>
      </w:r>
      <w:r>
        <w:t xml:space="preserve"> CLI (`install`, `start`, `stop`, `logs`, `checks`), state in `.gene/`; public downloads (EPIGAD, CNCR/VU MAGMA mirrors, Zenodo H-MAGMA, GitHub eMAGMA, Schulz sciebo meQTL, GEO GPL13534).</w:t>
      </w:r>
    </w:p>
    <w:p>
      <w:pPr>
        <w:pStyle w:val="Heading1"/>
      </w:pPr>
      <w:r>
        <w:t>Context</w:t>
      </w:r>
    </w:p>
    <w:p>
      <w:r>
        <w:t xml:space="preserve">The paper describes </w:t>
      </w:r>
      <w:r>
        <w:rPr>
          <w:b/>
        </w:rPr>
        <w:t>gene-level</w:t>
      </w:r>
      <w:r>
        <w:t xml:space="preserve"> dissection of epilepsy GWAS with </w:t>
      </w:r>
      <w:r>
        <w:rPr>
          <w:b/>
        </w:rPr>
        <w:t>MAGMA</w:t>
      </w:r>
      <w:r>
        <w:t xml:space="preserve">, </w:t>
      </w:r>
      <w:r>
        <w:rPr>
          <w:b/>
        </w:rPr>
        <w:t>E-MAGMA</w:t>
      </w:r>
      <w:r>
        <w:t xml:space="preserve"> (hippocampal expression context), </w:t>
      </w:r>
      <w:r>
        <w:rPr>
          <w:b/>
        </w:rPr>
        <w:t>H-MAGMA</w:t>
      </w:r>
      <w:r>
        <w:t xml:space="preserve"> (adult/fetal brain Hi-C context), and </w:t>
      </w:r>
      <w:r>
        <w:rPr>
          <w:b/>
        </w:rPr>
        <w:t>ME-MAGMA</w:t>
      </w:r>
      <w:r>
        <w:t xml:space="preserve"> (methylation QTL linkage), on </w:t>
      </w:r>
      <w:r>
        <w:rPr>
          <w:b/>
        </w:rPr>
        <w:t>ILAE</w:t>
      </w:r>
      <w:r>
        <w:t xml:space="preserve"> summary statistics. This workspace implements the </w:t>
      </w:r>
      <w:r>
        <w:rPr>
          <w:b/>
        </w:rPr>
        <w:t>compute path</w:t>
      </w:r>
      <w:r>
        <w:t xml:space="preserve"> (reference LD panel, annotations, p-value prep, batch MAGMA) plus a thin </w:t>
      </w:r>
      <w:r>
        <w:rPr>
          <w:b/>
        </w:rPr>
        <w:t>CLI</w:t>
      </w:r>
      <w:r>
        <w:t>—not a re-implementation of MAGMA’s statistics.</w:t>
      </w:r>
    </w:p>
    <w:p>
      <w:pPr>
        <w:pStyle w:val="Heading1"/>
      </w:pPr>
      <w:r>
        <w:t>Platform fit and reproducibility</w:t>
      </w:r>
    </w:p>
    <w:p>
      <w:pPr>
        <w:pStyle w:val="Heading2"/>
      </w:pPr>
      <w:r>
        <w:t>Usability</w:t>
      </w:r>
    </w:p>
    <w:p>
      <w:r>
        <w:rPr>
          <w:b/>
        </w:rPr>
        <w:t>Published offering</w:t>
      </w:r>
    </w:p>
    <w:p>
      <w:pPr>
        <w:pStyle w:val="ListBullet"/>
      </w:pPr>
      <w:r>
        <w:t>Standard post-GWAS gene analysis stack; clear separation of summary stats vs. functional priors (expression, chromatin, methylation).</w:t>
      </w:r>
    </w:p>
    <w:p>
      <w:r>
        <w:rPr>
          <w:b/>
        </w:rPr>
        <w:t>This implementation</w:t>
      </w:r>
    </w:p>
    <w:p>
      <w:pPr>
        <w:pStyle w:val="ListBullet"/>
      </w:pPr>
      <w:r>
        <w:rPr>
          <w:b/>
        </w:rPr>
        <w:t>Strength:</w:t>
      </w:r>
      <w:r>
        <w:t xml:space="preserve"> `./gene install` chains downloads + ILAE unzip + </w:t>
      </w:r>
      <w:r>
        <w:rPr>
          <w:b/>
        </w:rPr>
        <w:t>three-column</w:t>
      </w:r>
      <w:r>
        <w:t xml:space="preserve"> p-value files; `./gene start` runs all phenotypes in background; `./gene checks` validates inputs and counts `*.genes.out`.</w:t>
      </w:r>
    </w:p>
    <w:p>
      <w:pPr>
        <w:pStyle w:val="ListBullet"/>
      </w:pPr>
      <w:r>
        <w:rPr>
          <w:b/>
        </w:rPr>
        <w:t>Friction:</w:t>
      </w:r>
      <w:r>
        <w:t xml:space="preserve"> </w:t>
      </w:r>
      <w:r>
        <w:rPr>
          <w:b/>
        </w:rPr>
        <w:t>MAGMA v1.10</w:t>
      </w:r>
      <w:r>
        <w:t xml:space="preserve"> requires </w:t>
      </w:r>
      <w:r>
        <w:rPr>
          <w:b/>
        </w:rPr>
        <w:t>SNP, P, N</w:t>
      </w:r>
      <w:r>
        <w:t xml:space="preserve"> in the p-value file (`ncol=3`); ILAE `.tbl` supplies `Effective_N`. Large </w:t>
      </w:r>
      <w:r>
        <w:rPr>
          <w:b/>
        </w:rPr>
        <w:t>ILAE</w:t>
      </w:r>
      <w:r>
        <w:t xml:space="preserve"> zip (~1.8 GB) and </w:t>
      </w:r>
      <w:r>
        <w:rPr>
          <w:b/>
        </w:rPr>
        <w:t>g1000_eur</w:t>
      </w:r>
      <w:r>
        <w:t xml:space="preserve"> (~488 MB) need bandwidth and disk.</w:t>
      </w:r>
    </w:p>
    <w:p>
      <w:pPr>
        <w:pStyle w:val="ListBullet"/>
      </w:pPr>
      <w:r>
        <w:rPr>
          <w:b/>
        </w:rPr>
        <w:t>ME-MAGMA:</w:t>
      </w:r>
      <w:r>
        <w:t xml:space="preserve"> Paper annotations not shared; builder uses </w:t>
      </w:r>
      <w:r>
        <w:rPr>
          <w:b/>
        </w:rPr>
        <w:t>Schulz 2017</w:t>
      </w:r>
      <w:r>
        <w:t xml:space="preserve"> imputed meQTL + 450k manifest—</w:t>
      </w:r>
      <w:r>
        <w:rPr>
          <w:b/>
        </w:rPr>
        <w:t>logic-aligned</w:t>
      </w:r>
      <w:r>
        <w:t>, not byte-identical to authors’ file.</w:t>
      </w:r>
    </w:p>
    <w:p>
      <w:pPr>
        <w:pStyle w:val="Heading2"/>
      </w:pPr>
      <w:r>
        <w:t>Reproducibility</w:t>
      </w:r>
    </w:p>
    <w:p>
      <w:r>
        <w:rPr>
          <w:b/>
        </w:rPr>
        <w:t>What the paper supports</w:t>
      </w:r>
    </w:p>
    <w:p>
      <w:pPr>
        <w:pStyle w:val="ListBullet"/>
      </w:pPr>
      <w:r>
        <w:t xml:space="preserve">Public </w:t>
      </w:r>
      <w:r>
        <w:rPr>
          <w:b/>
        </w:rPr>
        <w:t>ILAE3</w:t>
      </w:r>
      <w:r>
        <w:t xml:space="preserve"> sumstats (EPIGAD); public MAGMA/E-/H-MAGMA assets; fixed software versions when pinned.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LD reference:</w:t>
      </w:r>
      <w:r>
        <w:t xml:space="preserve"> Paper used </w:t>
      </w:r>
      <w:r>
        <w:rPr>
          <w:b/>
        </w:rPr>
        <w:t>ILAE2</w:t>
      </w:r>
      <w:r>
        <w:t xml:space="preserve"> European genotypes where available; pipeline defaults to </w:t>
      </w:r>
      <w:r>
        <w:rPr>
          <w:b/>
        </w:rPr>
        <w:t>1000 Genomes EUR</w:t>
      </w:r>
      <w:r>
        <w:t>—standard, but gene *p*-values can shift vs. ILAE2-LD.</w:t>
      </w:r>
    </w:p>
    <w:p>
      <w:pPr>
        <w:pStyle w:val="ListBullet"/>
      </w:pPr>
      <w:r>
        <w:rPr>
          <w:b/>
        </w:rPr>
        <w:t>ME-MAGMA:</w:t>
      </w:r>
      <w:r>
        <w:t xml:space="preserve"> Rebuilt annotation + *p*-cutoff choice (e.g. `1e-4`) affects inclusion; not a deterministic replay of undisclosed author files.</w:t>
      </w:r>
    </w:p>
    <w:p>
      <w:pPr>
        <w:pStyle w:val="ListBullet"/>
      </w:pPr>
      <w:r>
        <w:rPr>
          <w:b/>
        </w:rPr>
        <w:t>Our role:</w:t>
      </w:r>
      <w:r>
        <w:t xml:space="preserve"> Reproduces a </w:t>
      </w:r>
      <w:r>
        <w:rPr>
          <w:b/>
        </w:rPr>
        <w:t>runnable, documented</w:t>
      </w:r>
      <w:r>
        <w:t xml:space="preserve"> pipeline—not independent re-validation of every gene claim in the paper.</w:t>
      </w:r>
    </w:p>
    <w:p>
      <w:pPr>
        <w:pStyle w:val="Heading1"/>
      </w:pPr>
      <w:r>
        <w:t>Performance, generalization, comparison</w:t>
      </w:r>
    </w:p>
    <w:p>
      <w:pPr>
        <w:pStyle w:val="Heading2"/>
      </w:pPr>
      <w:r>
        <w:t>Performance</w:t>
      </w:r>
    </w:p>
    <w:p>
      <w:pPr>
        <w:pStyle w:val="ListBullet"/>
      </w:pPr>
      <w:r>
        <w:t xml:space="preserve">MAGMA gene tests over </w:t>
      </w:r>
      <w:r>
        <w:rPr>
          <w:b/>
        </w:rPr>
        <w:t>~4.8M SNPs</w:t>
      </w:r>
      <w:r>
        <w:t xml:space="preserve"> and </w:t>
      </w:r>
      <w:r>
        <w:rPr>
          <w:b/>
        </w:rPr>
        <w:t>~52k genes</w:t>
      </w:r>
      <w:r>
        <w:t xml:space="preserve"> are </w:t>
      </w:r>
      <w:r>
        <w:rPr>
          <w:b/>
        </w:rPr>
        <w:t>CPU-heavy</w:t>
      </w:r>
      <w:r>
        <w:t xml:space="preserve"> (tens of minutes per annotation × multiple annotations × multiple phenotypes). </w:t>
      </w:r>
      <w:r>
        <w:rPr>
          <w:b/>
        </w:rPr>
        <w:t>NFS</w:t>
      </w:r>
      <w:r>
        <w:t xml:space="preserve"> home latency can add overhead; local fast disk helps.</w:t>
      </w:r>
    </w:p>
    <w:p>
      <w:pPr>
        <w:pStyle w:val="ListBullet"/>
      </w:pPr>
      <w:r>
        <w:t xml:space="preserve">This repo does </w:t>
      </w:r>
      <w:r>
        <w:rPr>
          <w:b/>
        </w:rPr>
        <w:t>not</w:t>
      </w:r>
      <w:r>
        <w:t xml:space="preserve"> benchmark vs. paper wall times; `checks` only confirms </w:t>
      </w:r>
      <w:r>
        <w:rPr>
          <w:b/>
        </w:rPr>
        <w:t>artifact presence</w:t>
      </w:r>
      <w:r>
        <w:t>.</w:t>
      </w:r>
    </w:p>
    <w:p>
      <w:pPr>
        <w:pStyle w:val="Heading2"/>
      </w:pPr>
      <w:r>
        <w:t>Generalization</w:t>
      </w:r>
    </w:p>
    <w:p>
      <w:pPr>
        <w:pStyle w:val="ListBullet"/>
      </w:pPr>
      <w:r>
        <w:t xml:space="preserve">GWAS summary format is </w:t>
      </w:r>
      <w:r>
        <w:rPr>
          <w:b/>
        </w:rPr>
        <w:t>ILAE-specific</w:t>
      </w:r>
      <w:r>
        <w:t xml:space="preserve"> (column names, spacing); `04_prepare_gwas_for_magma.py` strips headers and maps `MarkerName` / `P-value` / `Effective_N`.</w:t>
      </w:r>
    </w:p>
    <w:p>
      <w:pPr>
        <w:pStyle w:val="ListBullet"/>
      </w:pPr>
      <w:r>
        <w:t>Other cohorts need column detection tweaks or explicit `--input` conventions.</w:t>
      </w:r>
    </w:p>
    <w:p>
      <w:pPr>
        <w:pStyle w:val="ListBullet"/>
      </w:pPr>
      <w:r>
        <w:rPr>
          <w:b/>
        </w:rPr>
        <w:t>Clinical:</w:t>
      </w:r>
      <w:r>
        <w:t xml:space="preserve"> Gene lists are </w:t>
      </w:r>
      <w:r>
        <w:rPr>
          <w:b/>
        </w:rPr>
        <w:t>research</w:t>
      </w:r>
      <w:r>
        <w:t xml:space="preserve"> outputs; not diagnostic or treatment directives.</w:t>
      </w:r>
    </w:p>
    <w:p>
      <w:pPr>
        <w:pStyle w:val="Heading2"/>
      </w:pPr>
      <w:r>
        <w:t>Comparison</w:t>
      </w:r>
    </w:p>
    <w:p>
      <w:pPr>
        <w:pStyle w:val="ListBullet"/>
      </w:pPr>
      <w:r>
        <w:rPr>
          <w:b/>
        </w:rPr>
        <w:t>E-MAGMA / H-MAGMA / ME-MAGMA</w:t>
      </w:r>
      <w:r>
        <w:t xml:space="preserve"> differ by </w:t>
      </w:r>
      <w:r>
        <w:rPr>
          <w:b/>
        </w:rPr>
        <w:t>which SNPs count</w:t>
      </w:r>
      <w:r>
        <w:t xml:space="preserve"> toward each gene; same GWAS can yield different gene rankings. Builder should treat outputs as </w:t>
      </w:r>
      <w:r>
        <w:rPr>
          <w:b/>
        </w:rPr>
        <w:t>complementary hypotheses</w:t>
      </w:r>
      <w:r>
        <w:t>, not one “true” ranking.</w:t>
      </w:r>
    </w:p>
    <w:p>
      <w:pPr>
        <w:pStyle w:val="Heading1"/>
      </w:pPr>
      <w:r>
        <w:t>Clinical relevance, interpretability, integration</w:t>
      </w:r>
    </w:p>
    <w:p>
      <w:pPr>
        <w:pStyle w:val="Heading2"/>
      </w:pPr>
      <w:r>
        <w:t>Clinical relevance</w:t>
      </w:r>
    </w:p>
    <w:p>
      <w:pPr>
        <w:pStyle w:val="ListBullet"/>
      </w:pPr>
      <w:r>
        <w:rPr>
          <w:b/>
        </w:rPr>
        <w:t>Moderate–high</w:t>
      </w:r>
      <w:r>
        <w:t xml:space="preserve"> for research into </w:t>
      </w:r>
      <w:r>
        <w:rPr>
          <w:b/>
        </w:rPr>
        <w:t>genetic architecture</w:t>
      </w:r>
      <w:r>
        <w:t xml:space="preserve"> of epilepsy subtypes (GGE vs focal vs all-epilepsy); supports pathway and follow-up variant interpretation.</w:t>
      </w:r>
    </w:p>
    <w:p>
      <w:pPr>
        <w:pStyle w:val="ListBullet"/>
      </w:pPr>
      <w:r>
        <w:rPr>
          <w:b/>
        </w:rPr>
        <w:t>Not</w:t>
      </w:r>
      <w:r>
        <w:t xml:space="preserve"> bedside validation, treatment selection, or regulatory evidence.</w:t>
      </w:r>
    </w:p>
    <w:p>
      <w:pPr>
        <w:pStyle w:val="Heading2"/>
      </w:pPr>
      <w:r>
        <w:t>Interpretability</w:t>
      </w:r>
    </w:p>
    <w:p>
      <w:pPr>
        <w:pStyle w:val="ListBullet"/>
      </w:pPr>
      <w:r>
        <w:t>**`*.genes.out`:</w:t>
      </w:r>
      <w:r>
        <w:rPr>
          <w:b/>
        </w:rPr>
        <w:t xml:space="preserve"> gene ID, genomic interval, SNP count, </w:t>
      </w:r>
      <w:r>
        <w:t>ZSTAT</w:t>
      </w:r>
      <w:r>
        <w:rPr>
          <w:b/>
        </w:rPr>
        <w:t xml:space="preserve">, </w:t>
      </w:r>
      <w:r>
        <w:t>P</w:t>
      </w:r>
      <w:r>
        <w:rPr>
          <w:b/>
        </w:rPr>
        <w:t xml:space="preserve">. Lower </w:t>
      </w:r>
      <w:r>
        <w:t>P** = stronger multi-SNP association under that annotation.</w:t>
      </w:r>
    </w:p>
    <w:p>
      <w:pPr>
        <w:pStyle w:val="ListBullet"/>
      </w:pPr>
      <w:r>
        <w:rPr>
          <w:b/>
        </w:rPr>
        <w:t>Trust limits:</w:t>
      </w:r>
      <w:r>
        <w:t xml:space="preserve"> LD panel, annotation build, and </w:t>
      </w:r>
      <w:r>
        <w:rPr>
          <w:b/>
        </w:rPr>
        <w:t>winner’s curse</w:t>
      </w:r>
      <w:r>
        <w:t xml:space="preserve"> in GWAS summaries affect calibration; FDR (`08_fdr_genes.R`) is per-file, not cross-annotation unified.</w:t>
      </w:r>
    </w:p>
    <w:p>
      <w:pPr>
        <w:pStyle w:val="Heading2"/>
      </w:pPr>
      <w:r>
        <w:t>Integration</w:t>
      </w:r>
    </w:p>
    <w:p>
      <w:pPr>
        <w:pStyle w:val="ListBullet"/>
      </w:pPr>
      <w:r>
        <w:rPr>
          <w:b/>
        </w:rPr>
        <w:t>Downstream:</w:t>
      </w:r>
      <w:r>
        <w:t xml:space="preserve"> R/tidyverse for FDR; optional </w:t>
      </w:r>
      <w:r>
        <w:rPr>
          <w:b/>
        </w:rPr>
        <w:t>VarElect</w:t>
      </w:r>
      <w:r>
        <w:t xml:space="preserve"> (external web); Entrez IDs link to external DBs.</w:t>
      </w:r>
    </w:p>
    <w:p>
      <w:pPr>
        <w:pStyle w:val="ListBullet"/>
      </w:pPr>
      <w:r>
        <w:rPr>
          <w:b/>
        </w:rPr>
        <w:t>`./gene`</w:t>
      </w:r>
      <w:r>
        <w:t xml:space="preserve"> adds </w:t>
      </w:r>
      <w:r>
        <w:rPr>
          <w:b/>
        </w:rPr>
        <w:t>ops</w:t>
      </w:r>
      <w:r>
        <w:t xml:space="preserve"> (install/start/logs/stop/checks), not a lab LIMS or dbGaP connector.</w:t>
      </w:r>
    </w:p>
    <w:p>
      <w:pPr>
        <w:pStyle w:val="Heading1"/>
      </w:pPr>
      <w:r>
        <w:t>Limitations and failure modes</w:t>
      </w:r>
    </w:p>
    <w:p>
      <w:pPr>
        <w:pStyle w:val="ListBullet"/>
      </w:pPr>
      <w:r>
        <w:rPr>
          <w:b/>
        </w:rPr>
        <w:t>Network mirrors</w:t>
      </w:r>
      <w:r>
        <w:t xml:space="preserve"> (VU SURF, Zenodo, EPIGAD) can change; scripts pin URLs documented in `README.md` </w:t>
      </w:r>
      <w:r>
        <w:rPr>
          <w:b/>
        </w:rPr>
        <w:t>Sources</w:t>
      </w:r>
      <w:r>
        <w:t xml:space="preserve"> table.</w:t>
      </w:r>
    </w:p>
    <w:p>
      <w:pPr>
        <w:pStyle w:val="ListBullet"/>
      </w:pPr>
      <w:r>
        <w:rPr>
          <w:b/>
        </w:rPr>
        <w:t>Headless clusters:</w:t>
      </w:r>
      <w:r>
        <w:t xml:space="preserve"> MAGMA is CLI-friendly; </w:t>
      </w:r>
      <w:r>
        <w:rPr>
          <w:b/>
        </w:rPr>
        <w:t>no GUI</w:t>
      </w:r>
      <w:r>
        <w:t xml:space="preserve"> required—unlike LeGUI-style tools.</w:t>
      </w:r>
    </w:p>
    <w:p>
      <w:pPr>
        <w:pStyle w:val="ListBullet"/>
      </w:pPr>
      <w:r>
        <w:rPr>
          <w:b/>
        </w:rPr>
        <w:t>MAGMA version drift:</w:t>
      </w:r>
      <w:r>
        <w:t xml:space="preserve"> `ncol=2` + global `N=` conflicts on </w:t>
      </w:r>
      <w:r>
        <w:rPr>
          <w:b/>
        </w:rPr>
        <w:t>v1.10</w:t>
      </w:r>
      <w:r>
        <w:t xml:space="preserve">; pipeline standardizes </w:t>
      </w:r>
      <w:r>
        <w:rPr>
          <w:b/>
        </w:rPr>
        <w:t>3-column</w:t>
      </w:r>
      <w:r>
        <w:t xml:space="preserve"> p-values.</w:t>
      </w:r>
    </w:p>
    <w:p>
      <w:pPr>
        <w:pStyle w:val="ListBullet"/>
      </w:pPr>
      <w:r>
        <w:rPr>
          <w:b/>
        </w:rPr>
        <w:t>Incomplete runs:</w:t>
      </w:r>
      <w:r>
        <w:t xml:space="preserve"> Partial `*.genes.out` set if batch interrupted; `./gene checks` expects </w:t>
      </w:r>
      <w:r>
        <w:rPr>
          <w:b/>
        </w:rPr>
        <w:t>15</w:t>
      </w:r>
      <w:r>
        <w:t xml:space="preserve"> files (3 phenotypes × 5 annotations when ME annot exists).</w:t>
      </w:r>
    </w:p>
    <w:p>
      <w:pPr>
        <w:pStyle w:val="Heading1"/>
      </w:pPr>
      <w:r>
        <w:t>Builder insight</w:t>
      </w:r>
    </w:p>
    <w:p>
      <w:r>
        <w:t xml:space="preserve">The stack is </w:t>
      </w:r>
      <w:r>
        <w:rPr>
          <w:b/>
        </w:rPr>
        <w:t>strong for transparent, public-data gene follow-up</w:t>
      </w:r>
      <w:r>
        <w:t xml:space="preserve"> on ILAE GWAS with multiple functional priors. The </w:t>
      </w:r>
      <w:r>
        <w:rPr>
          <w:b/>
        </w:rPr>
        <w:t>builder gap</w:t>
      </w:r>
      <w:r>
        <w:t xml:space="preserve"> is </w:t>
      </w:r>
      <w:r>
        <w:rPr>
          <w:b/>
        </w:rPr>
        <w:t>harmonization</w:t>
      </w:r>
      <w:r>
        <w:t xml:space="preserve">: choosing </w:t>
      </w:r>
      <w:r>
        <w:rPr>
          <w:b/>
        </w:rPr>
        <w:t>LD reference</w:t>
      </w:r>
      <w:r>
        <w:t xml:space="preserve">, accepting </w:t>
      </w:r>
      <w:r>
        <w:rPr>
          <w:b/>
        </w:rPr>
        <w:t>ME-MAGMA</w:t>
      </w:r>
      <w:r>
        <w:t xml:space="preserve"> as a reproducible approximation, and budgeting </w:t>
      </w:r>
      <w:r>
        <w:rPr>
          <w:b/>
        </w:rPr>
        <w:t>compute</w:t>
      </w:r>
      <w:r>
        <w:t xml:space="preserve"> for full annotation sweeps.</w:t>
      </w:r>
    </w:p>
    <w:p>
      <w:r>
        <w:rPr>
          <w:b/>
        </w:rPr>
        <w:t>Potential extensions</w:t>
      </w:r>
    </w:p>
    <w:p>
      <w:pPr>
        <w:pStyle w:val="ListBullet"/>
      </w:pPr>
      <w:r>
        <w:rPr>
          <w:b/>
        </w:rPr>
        <w:t>Slurm</w:t>
      </w:r>
      <w:r>
        <w:t xml:space="preserve"> wrapper over `./gene start` with time/memory requests.</w:t>
      </w:r>
    </w:p>
    <w:p>
      <w:pPr>
        <w:pStyle w:val="ListBullet"/>
      </w:pPr>
      <w:r>
        <w:rPr>
          <w:b/>
        </w:rPr>
        <w:t>Config YAML</w:t>
      </w:r>
      <w:r>
        <w:t xml:space="preserve"> for phenotype file paths instead of hard-coded Caucasian `.tbl` names.</w:t>
      </w:r>
    </w:p>
    <w:p>
      <w:pPr>
        <w:pStyle w:val="ListBullet"/>
      </w:pPr>
      <w:r>
        <w:rPr>
          <w:b/>
        </w:rPr>
        <w:t>CI</w:t>
      </w:r>
      <w:r>
        <w:t xml:space="preserve"> job: `./gene checks` on a cache with tiny subset p-value file for smoke testing (not full GWAS).</w:t>
      </w:r>
    </w:p>
    <w:p>
      <w:pPr>
        <w:pStyle w:val="Heading1"/>
      </w:pPr>
      <w:r>
        <w:t>References (selected)</w:t>
      </w:r>
    </w:p>
    <w:p>
      <w:pPr>
        <w:pStyle w:val="ListBullet"/>
      </w:pPr>
      <w:r>
        <w:t>Mushunuri et al. 2026 *Epilepsia* (DOI above).</w:t>
      </w:r>
    </w:p>
    <w:p>
      <w:pPr>
        <w:pStyle w:val="ListBullet"/>
      </w:pPr>
      <w:r>
        <w:t>`gene_summary.md` — short paper summary in this folder.</w:t>
      </w:r>
    </w:p>
    <w:p>
      <w:pPr>
        <w:pStyle w:val="ListBullet"/>
      </w:pPr>
      <w:r>
        <w:t>`mushunuri_ilae_pipeline/README.md` — install, sources, CLI.</w:t>
      </w:r>
    </w:p>
    <w:p>
      <w:pPr>
        <w:pStyle w:val="ListBullet"/>
      </w:pPr>
      <w:r>
        <w:t>MAGMA: https://cncr.nl/research/magma/</w:t>
      </w:r>
    </w:p>
    <w:p>
      <w:pPr>
        <w:pStyle w:val="ListBullet"/>
      </w:pPr>
      <w:r>
        <w:t>ILAE / EPIGAD: https://www.epigad.org/</w:t>
      </w:r>
    </w:p>
    <w:p>
      <w:r>
        <w:t>Regenerate the Word handoff: `python3 export_builder_review_docx.py` → `build_reviewer.docx`.</w:t>
      </w:r>
    </w:p>
    <w:p>
      <w:r>
        <w:t>*Last updated: 2026-04-15.*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Builder Review — Gene-Epi ILAE MAGMA pipeline</dc:title>
  <dc:subject>Inzira Labs Builder Review style (concise)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