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Theory of the iEEG-recon Pipeline</w:t>
      </w:r>
    </w:p>
    <w:p/>
    <w:p>
      <w:r>
        <w:rPr>
          <w:b w:val="0"/>
        </w:rPr>
      </w:r>
      <w:r>
        <w:rPr>
          <w:b/>
        </w:rPr>
        <w:t>Reference:</w:t>
      </w:r>
      <w:r>
        <w:rPr>
          <w:b w:val="0"/>
        </w:rPr>
        <w:t xml:space="preserve"> Lucas A, et al. *Epilepsia*. 2024;65:817–829. DOI: [10.1111/epi.17863](https://doi.org/10.1111/epi.17863)</w:t>
      </w:r>
    </w:p>
    <w:p/>
    <w:p/>
    <w:p/>
    <w:p>
      <w:pPr>
        <w:pStyle w:val="Heading1"/>
      </w:pPr>
      <w:r>
        <w:t>1. The Clinical and Scientific Problem</w:t>
      </w:r>
    </w:p>
    <w:p/>
    <w:p>
      <w:r>
        <w:rPr>
          <w:b w:val="0"/>
        </w:rPr>
        <w:t xml:space="preserve">Drug-resistant epilepsy affects a substantial fraction of patients with focal seizures. When scalp EEG and noninvasive imaging are insufficient, clinicians implant </w:t>
      </w:r>
      <w:r>
        <w:rPr>
          <w:b/>
        </w:rPr>
        <w:t>intracranial electrodes</w:t>
      </w:r>
      <w:r>
        <w:rPr>
          <w:b w:val="0"/>
        </w:rPr>
        <w:t xml:space="preserve"> to record directly from brain tissue at millimeter scale. Two dominant implant types are used:</w:t>
      </w:r>
    </w:p>
    <w:p/>
    <w:p>
      <w:pPr>
        <w:pStyle w:val="ListBullet"/>
      </w:pPr>
      <w:r>
        <w:rPr>
          <w:b w:val="0"/>
        </w:rPr>
      </w:r>
      <w:r>
        <w:rPr>
          <w:b/>
        </w:rPr>
        <w:t>SEEG (stereo-EEG / depth electrodes):</w:t>
      </w:r>
      <w:r>
        <w:rPr>
          <w:b w:val="0"/>
        </w:rPr>
        <w:t xml:space="preserve"> thin shafts inserted along planned trajectories through cortex and subcortex.</w:t>
      </w:r>
    </w:p>
    <w:p>
      <w:pPr>
        <w:pStyle w:val="ListBullet"/>
      </w:pPr>
      <w:r>
        <w:rPr>
          <w:b w:val="0"/>
        </w:rPr>
      </w:r>
      <w:r>
        <w:rPr>
          <w:b/>
        </w:rPr>
        <w:t>ECoG (subdural grids and strips):</w:t>
      </w:r>
      <w:r>
        <w:rPr>
          <w:b w:val="0"/>
        </w:rPr>
        <w:t xml:space="preserve"> surface arrays placed beneath the skull over cortex.</w:t>
      </w:r>
    </w:p>
    <w:p/>
    <w:p>
      <w:r>
        <w:rPr>
          <w:b w:val="0"/>
        </w:rPr>
        <w:t xml:space="preserve">The </w:t>
      </w:r>
      <w:r>
        <w:rPr>
          <w:b/>
        </w:rPr>
        <w:t>electrophysiological signal</w:t>
      </w:r>
      <w:r>
        <w:rPr>
          <w:b w:val="0"/>
        </w:rPr>
        <w:t xml:space="preserve"> from each contact is only interpretable in anatomical context: knowing *where* a contact sits relative to hippocampus, temporal neocortex, insula, or resection margin determines whether that channel supports seizure onset, propagation, or eloquent function.</w:t>
      </w:r>
    </w:p>
    <w:p/>
    <w:p>
      <w:r>
        <w:t>After implantation, the surgical team must answer:</w:t>
      </w:r>
    </w:p>
    <w:p/>
    <w:p>
      <w:pPr>
        <w:pStyle w:val="ListNumber"/>
      </w:pPr>
      <w:r>
        <w:t>**Where is each contact in the patient's brain?**</w:t>
      </w:r>
    </w:p>
    <w:p>
      <w:pPr>
        <w:pStyle w:val="ListNumber"/>
      </w:pPr>
      <w:r>
        <w:t>**Which anatomical region or tissue class does each contact sample?**</w:t>
      </w:r>
    </w:p>
    <w:p>
      <w:pPr>
        <w:pStyle w:val="ListNumber"/>
      </w:pPr>
      <w:r>
        <w:t>**Do implanted devices (e.g., RNS generators) and leads align with preoperative plans?**</w:t>
      </w:r>
    </w:p>
    <w:p/>
    <w:p>
      <w:r>
        <w:rPr>
          <w:b w:val="0"/>
        </w:rPr>
        <w:t xml:space="preserve">This process is </w:t>
      </w:r>
      <w:r>
        <w:rPr>
          <w:b/>
        </w:rPr>
        <w:t>electrode reconstruction</w:t>
      </w:r>
      <w:r>
        <w:rPr>
          <w:b w:val="0"/>
        </w:rPr>
        <w:t xml:space="preserve"> (also called localization or coregistration). It bridges </w:t>
      </w:r>
      <w:r>
        <w:rPr>
          <w:b/>
        </w:rPr>
        <w:t>post-implant CT</w:t>
      </w:r>
      <w:r>
        <w:rPr>
          <w:b w:val="0"/>
        </w:rPr>
        <w:t xml:space="preserve"> (where metal contacts are visible) and </w:t>
      </w:r>
      <w:r>
        <w:rPr>
          <w:b/>
        </w:rPr>
        <w:t>pre-implant MRI</w:t>
      </w:r>
      <w:r>
        <w:rPr>
          <w:b w:val="0"/>
        </w:rPr>
        <w:t xml:space="preserve"> (where soft-tissue anatomy is visible), then maps contacts into </w:t>
      </w:r>
      <w:r>
        <w:rPr>
          <w:b/>
        </w:rPr>
        <w:t>standard atlases</w:t>
      </w:r>
      <w:r>
        <w:rPr>
          <w:b w:val="0"/>
        </w:rPr>
        <w:t xml:space="preserve"> for group analysis and clinical reporting.</w:t>
      </w:r>
    </w:p>
    <w:p/>
    <w:p>
      <w:r>
        <w:t>iEEG-recon formalizes reconstruction as three sequential transformations of information:</w:t>
      </w:r>
    </w:p>
    <w:p/>
    <w:p>
      <w:pPr>
        <w:ind w:left="360"/>
      </w:pPr>
      <w:r>
        <w:rPr>
          <w:rFonts w:ascii="Courier New" w:hAnsi="Courier New"/>
          <w:sz w:val="18"/>
        </w:rPr>
        <w:t>Post-implant CT  →  [Module 1]  →  labeled contacts in CT space</w:t>
        <w:br/>
        <w:t xml:space="preserve">                              ↓</w:t>
        <w:br/>
        <w:t xml:space="preserve">                    [Module 2]  →  contacts in native MRI space</w:t>
        <w:br/>
        <w:t xml:space="preserve">                              ↓</w:t>
        <w:br/>
        <w:t xml:space="preserve">                    [Module 3]  →  tissue + parcellation labels per contact</w:t>
      </w:r>
    </w:p>
    <w:p/>
    <w:p/>
    <w:p/>
    <w:p>
      <w:pPr>
        <w:pStyle w:val="Heading1"/>
      </w:pPr>
      <w:r>
        <w:t>2. Why Two Imaging Modalities Are Required</w:t>
      </w:r>
    </w:p>
    <w:p/>
    <w:p>
      <w:pPr>
        <w:pStyle w:val="Heading2"/>
      </w:pPr>
      <w:r>
        <w:t>Post-implant CT</w:t>
      </w:r>
    </w:p>
    <w:p/>
    <w:p>
      <w:r>
        <w:rPr>
          <w:b w:val="0"/>
        </w:rPr>
        <w:t xml:space="preserve">Computed tomography uses X-ray attenuation. Metal electrode contacts and the skull produce </w:t>
      </w:r>
      <w:r>
        <w:rPr>
          <w:b/>
        </w:rPr>
        <w:t>very high Hounsfield units (HU)</w:t>
      </w:r>
      <w:r>
        <w:rPr>
          <w:b w:val="0"/>
        </w:rPr>
        <w:t xml:space="preserve">. Contacts appear as bright point-like or rod-like structures. CT is therefore the </w:t>
      </w:r>
      <w:r>
        <w:rPr>
          <w:b/>
        </w:rPr>
        <w:t>ground-truth modality for contact geometry</w:t>
      </w:r>
      <w:r>
        <w:rPr>
          <w:b w:val="0"/>
        </w:rPr>
        <w:t xml:space="preserve"> immediately after surgery.</w:t>
      </w:r>
    </w:p>
    <w:p/>
    <w:p>
      <w:r>
        <w:t>Limitations of CT alone:</w:t>
      </w:r>
    </w:p>
    <w:p/>
    <w:p>
      <w:pPr>
        <w:pStyle w:val="ListBullet"/>
      </w:pPr>
      <w:r>
        <w:t>Poor soft-tissue contrast (gray vs. white matter barely distinguishable).</w:t>
      </w:r>
    </w:p>
    <w:p>
      <w:pPr>
        <w:pStyle w:val="ListBullet"/>
      </w:pPr>
      <w:r>
        <w:t>No reliable link to cortical parcellations used in research (Desikan–Killiany, Schaefer, AAL).</w:t>
      </w:r>
    </w:p>
    <w:p>
      <w:pPr>
        <w:pStyle w:val="ListBullet"/>
      </w:pPr>
      <w:r>
        <w:t>Does not match the high-resolution T1w MRI acquired preoperatively for surgical planning.</w:t>
      </w:r>
    </w:p>
    <w:p/>
    <w:p>
      <w:pPr>
        <w:pStyle w:val="Heading2"/>
      </w:pPr>
      <w:r>
        <w:t>Pre-implant MRI</w:t>
      </w:r>
    </w:p>
    <w:p/>
    <w:p>
      <w:r>
        <w:rPr>
          <w:b w:val="0"/>
        </w:rPr>
        <w:t xml:space="preserve">T1-weighted MRI provides </w:t>
      </w:r>
      <w:r>
        <w:rPr>
          <w:b/>
        </w:rPr>
        <w:t>excellent anatomical contrast</w:t>
      </w:r>
      <w:r>
        <w:rPr>
          <w:b w:val="0"/>
        </w:rPr>
        <w:t xml:space="preserve"> and is the standard basis for:</w:t>
      </w:r>
    </w:p>
    <w:p/>
    <w:p>
      <w:pPr>
        <w:pStyle w:val="ListBullet"/>
      </w:pPr>
      <w:r>
        <w:t>Neuronavigation during implant planning.</w:t>
      </w:r>
    </w:p>
    <w:p>
      <w:pPr>
        <w:pStyle w:val="ListBullet"/>
      </w:pPr>
      <w:r>
        <w:t>FreeSurfer / ANTsPyNet cortical parcellation.</w:t>
      </w:r>
    </w:p>
    <w:p>
      <w:pPr>
        <w:pStyle w:val="ListBullet"/>
      </w:pPr>
      <w:r>
        <w:t>Comparison with fMRI, DTI, and group templates (MNI space).</w:t>
      </w:r>
    </w:p>
    <w:p/>
    <w:p>
      <w:r>
        <w:t>Limitations of MRI alone:</w:t>
      </w:r>
    </w:p>
    <w:p/>
    <w:p>
      <w:pPr>
        <w:pStyle w:val="ListBullet"/>
      </w:pPr>
      <w:r>
        <w:t>Electrodes may not be visible or may appear with different contrast than on CT.</w:t>
      </w:r>
    </w:p>
    <w:p>
      <w:pPr>
        <w:pStyle w:val="ListBullet"/>
      </w:pPr>
      <w:r>
        <w:t>Post-implant brain geometry can differ slightly from pre-implant scans (brain shift for surface grids, edema, resection cavities in repeat surgeries).</w:t>
      </w:r>
    </w:p>
    <w:p/>
    <w:p>
      <w:pPr>
        <w:pStyle w:val="Heading2"/>
      </w:pPr>
      <w:r>
        <w:t>The Core Scientific Task</w:t>
      </w:r>
    </w:p>
    <w:p/>
    <w:p>
      <w:r>
        <w:rPr>
          <w:b w:val="0"/>
        </w:rPr>
        <w:t xml:space="preserve">Reconstruction estimates a </w:t>
      </w:r>
      <w:r>
        <w:rPr>
          <w:b/>
        </w:rPr>
        <w:t>spatial correspondence</w:t>
      </w:r>
      <w:r>
        <w:rPr>
          <w:b w:val="0"/>
        </w:rPr>
        <w:t xml:space="preserve"> between CT and MRI such that each labeled contact in CT can be assigned </w:t>
      </w:r>
      <w:r>
        <w:rPr>
          <w:b/>
        </w:rPr>
        <w:t>anatomically meaningful coordinates</w:t>
      </w:r>
      <w:r>
        <w:rPr>
          <w:b w:val="0"/>
        </w:rPr>
        <w:t xml:space="preserve"> in the MRI coordinate system—and, by extension, in atlases registered to that MRI.</w:t>
      </w:r>
    </w:p>
    <w:p/>
    <w:p>
      <w:r>
        <w:rPr>
          <w:b w:val="0"/>
        </w:rPr>
        <w:t xml:space="preserve">Mathematically, Module 2 seeks a rigid transform </w:t>
      </w:r>
      <w:r>
        <w:rPr>
          <w:b/>
        </w:rPr>
        <w:t>T</w:t>
      </w:r>
      <w:r>
        <w:rPr>
          <w:b w:val="0"/>
        </w:rPr>
        <w:t xml:space="preserve"> mapping CT coordinates </w:t>
      </w:r>
      <w:r>
        <w:rPr>
          <w:b/>
        </w:rPr>
        <w:t>x_CT</w:t>
      </w:r>
      <w:r>
        <w:rPr>
          <w:b w:val="0"/>
        </w:rPr>
        <w:t xml:space="preserve"> to MRI coordinates </w:t>
      </w:r>
      <w:r>
        <w:rPr>
          <w:b/>
        </w:rPr>
        <w:t>x_MRI</w:t>
      </w:r>
      <w:r>
        <w:rPr>
          <w:b w:val="0"/>
        </w:rPr>
        <w:t>:</w:t>
      </w:r>
    </w:p>
    <w:p/>
    <w:p>
      <w:pPr>
        <w:ind w:left="360"/>
      </w:pPr>
      <w:r>
        <w:rPr>
          <w:rFonts w:ascii="Courier New" w:hAnsi="Courier New"/>
          <w:sz w:val="18"/>
        </w:rPr>
        <w:t>x_MRI = T(x_CT) = R · x_CT + t</w:t>
      </w:r>
    </w:p>
    <w:p/>
    <w:p>
      <w:r>
        <w:rPr>
          <w:b w:val="0"/>
        </w:rPr>
        <w:t xml:space="preserve">where </w:t>
      </w:r>
      <w:r>
        <w:rPr>
          <w:b/>
        </w:rPr>
        <w:t>R</w:t>
      </w:r>
      <w:r>
        <w:rPr>
          <w:b w:val="0"/>
        </w:rPr>
        <w:t xml:space="preserve"> is a 3×3 rotation matrix and </w:t>
      </w:r>
      <w:r>
        <w:rPr>
          <w:b/>
        </w:rPr>
        <w:t>t</w:t>
      </w:r>
      <w:r>
        <w:rPr>
          <w:b w:val="0"/>
        </w:rPr>
        <w:t xml:space="preserve"> is a translation vector (6 degrees of freedom, rigid body assumption). Non-rigid brain deformation is handled separately (optional brain-shift correction for ECoG).</w:t>
      </w:r>
    </w:p>
    <w:p/>
    <w:p/>
    <w:p/>
    <w:p>
      <w:pPr>
        <w:pStyle w:val="Heading1"/>
      </w:pPr>
      <w:r>
        <w:t>3. Coordinate Spaces and Data Organization</w:t>
      </w:r>
    </w:p>
    <w:p/>
    <w:p>
      <w:r>
        <w:rPr>
          <w:b w:val="0"/>
        </w:rPr>
        <w:t xml:space="preserve">The pipeline uses a </w:t>
      </w:r>
      <w:r>
        <w:rPr>
          <w:b/>
        </w:rPr>
        <w:t>BIDS-like hierarchy</w:t>
      </w:r>
      <w:r>
        <w:rPr>
          <w:b w:val="0"/>
        </w:rPr>
        <w:t xml:space="preserve"> so that sessions, modalities, and derivative outputs remain traceable: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 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`T01ct`</w:t>
            </w:r>
          </w:p>
        </w:tc>
        <w:tc>
          <w:tcPr>
            <w:tcW w:type="dxa" w:w="4320"/>
          </w:tcPr>
          <w:p>
            <w:r>
              <w:t>Native post-implant CT voxel space</w:t>
            </w:r>
          </w:p>
        </w:tc>
      </w:tr>
      <w:tr>
        <w:tc>
          <w:tcPr>
            <w:tcW w:type="dxa" w:w="4320"/>
          </w:tcPr>
          <w:p>
            <w:r>
              <w:t>`T00mri`</w:t>
            </w:r>
          </w:p>
        </w:tc>
        <w:tc>
          <w:tcPr>
            <w:tcW w:type="dxa" w:w="4320"/>
          </w:tcPr>
          <w:p>
            <w:r>
              <w:t>Native pre-implant reference T1w MRI space</w:t>
            </w:r>
          </w:p>
        </w:tc>
      </w:tr>
      <w:tr>
        <w:tc>
          <w:tcPr>
            <w:tcW w:type="dxa" w:w="4320"/>
          </w:tcPr>
          <w:p>
            <w:r>
              <w:t>MNI152 (optional)</w:t>
            </w:r>
          </w:p>
        </w:tc>
        <w:tc>
          <w:tcPr>
            <w:tcW w:type="dxa" w:w="4320"/>
          </w:tcPr>
          <w:p>
            <w:r>
              <w:t>Standard template space for group studies</w:t>
            </w:r>
          </w:p>
        </w:tc>
      </w:tr>
    </w:tbl>
    <w:p>
      <w:r>
        <w:t>A subject may have:</w:t>
      </w:r>
    </w:p>
    <w:p/>
    <w:p>
      <w:pPr>
        <w:pStyle w:val="ListBullet"/>
      </w:pPr>
      <w:r>
        <w:rPr>
          <w:b w:val="0"/>
        </w:rPr>
      </w:r>
      <w:r>
        <w:rPr>
          <w:b/>
        </w:rPr>
        <w:t>Clinical session:</w:t>
      </w:r>
      <w:r>
        <w:rPr>
          <w:b w:val="0"/>
        </w:rPr>
        <w:t xml:space="preserve"> post-implant CT + VoxTool labels (`ses-clinical01`).</w:t>
      </w:r>
    </w:p>
    <w:p>
      <w:pPr>
        <w:pStyle w:val="ListBullet"/>
      </w:pPr>
      <w:r>
        <w:rPr>
          <w:b w:val="0"/>
        </w:rPr>
      </w:r>
      <w:r>
        <w:rPr>
          <w:b/>
        </w:rPr>
        <w:t>Research session:</w:t>
      </w:r>
      <w:r>
        <w:rPr>
          <w:b w:val="0"/>
        </w:rPr>
        <w:t xml:space="preserve"> high-resolution pre-implant T1w (`ses-research3T`).</w:t>
      </w:r>
    </w:p>
    <w:p/>
    <w:p>
      <w:r>
        <w:rPr>
          <w:b w:val="0"/>
        </w:rPr>
        <w:t xml:space="preserve">Module 2 registers CT to the </w:t>
      </w:r>
      <w:r>
        <w:rPr>
          <w:b/>
        </w:rPr>
        <w:t>reference MRI session</w:t>
      </w:r>
      <w:r>
        <w:rPr>
          <w:b w:val="0"/>
        </w:rPr>
        <w:t xml:space="preserve"> chosen by the user. All downstream anatomy is expressed in that MRI's native geometry unless optional MNI export is requested.</w:t>
      </w:r>
    </w:p>
    <w:p/>
    <w:p/>
    <w:p/>
    <w:p>
      <w:pPr>
        <w:pStyle w:val="Heading1"/>
      </w:pPr>
      <w:r>
        <w:t>4. Module 1 — Semiautomatic Electrode Labeling (VoxTool)</w:t>
      </w:r>
    </w:p>
    <w:p/>
    <w:p>
      <w:pPr>
        <w:pStyle w:val="Heading2"/>
      </w:pPr>
      <w:r>
        <w:t>Scientific role</w:t>
      </w:r>
    </w:p>
    <w:p/>
    <w:p>
      <w:r>
        <w:rPr>
          <w:b w:val="0"/>
        </w:rPr>
        <w:t xml:space="preserve">Module 1 establishes </w:t>
      </w:r>
      <w:r>
        <w:rPr>
          <w:b/>
        </w:rPr>
        <w:t>discrete point observations</w:t>
      </w:r>
      <w:r>
        <w:rPr>
          <w:b w:val="0"/>
        </w:rPr>
        <w:t xml:space="preserve"> of contact centroids in CT voxel space, each with a </w:t>
      </w:r>
      <w:r>
        <w:rPr>
          <w:b/>
        </w:rPr>
        <w:t>unique identifier</w:t>
      </w:r>
      <w:r>
        <w:rPr>
          <w:b w:val="0"/>
        </w:rPr>
        <w:t xml:space="preserve"> (e.g., `LA8` = left array, contact 8). Without these labels, bright voxels on CT cannot be assigned to specific recording channels in the iEEG file.</w:t>
      </w:r>
    </w:p>
    <w:p/>
    <w:p>
      <w:pPr>
        <w:pStyle w:val="Heading2"/>
      </w:pPr>
      <w:r>
        <w:t>Theoretical basis</w:t>
      </w:r>
    </w:p>
    <w:p/>
    <w:p>
      <w:pPr>
        <w:pStyle w:val="ListNumber"/>
      </w:pPr>
      <w:r>
        <w:t>**Intensity thresholding:** Metal contacts exceed tissue HU by orders of magnitude. Thresholding isolates candidate contact voxels from bone and soft tissue.</w:t>
      </w:r>
    </w:p>
    <w:p>
      <w:pPr>
        <w:pStyle w:val="ListNumber"/>
      </w:pPr>
      <w:r>
        <w:t>**Human-in-the-loop localization:** Fully automatic detection remains error-prone for grids, bent shafts, artifact from RNS hardware, and partial contact visibility. Expert clicking encodes domain knowledge.</w:t>
      </w:r>
    </w:p>
    <w:p>
      <w:pPr>
        <w:pStyle w:val="ListNumber"/>
      </w:pPr>
      <w:r>
        <w:t>**Geometric interpolation:** Grids, strips, and linear depth shafts are **low-dimensional manifolds** in 3D. Once endpoints or seed contacts are placed, linear or grid interpolation estimates remaining contacts under assumptions of regular spacing—reducing manual burden.</w:t>
      </w:r>
    </w:p>
    <w:p/>
    <w:p>
      <w:pPr>
        <w:pStyle w:val="Heading2"/>
      </w:pPr>
      <w:r>
        <w:t>Output</w:t>
      </w:r>
    </w:p>
    <w:p/>
    <w:p>
      <w:r>
        <w:rPr>
          <w:b w:val="0"/>
        </w:rPr>
        <w:t xml:space="preserve">A text file of labeled CT coordinates (`desc-vox_electrodes.txt`) is the </w:t>
      </w:r>
      <w:r>
        <w:rPr>
          <w:b/>
        </w:rPr>
        <w:t>input observational dataset</w:t>
      </w:r>
      <w:r>
        <w:rPr>
          <w:b w:val="0"/>
        </w:rPr>
        <w:t xml:space="preserve"> for all subsequent modules. Errors here propagate directly to anatomical conclusions; Module 2's QA report is designed to catch gross mislabeling.</w:t>
      </w:r>
    </w:p>
    <w:p/>
    <w:p>
      <w:pPr>
        <w:pStyle w:val="Heading2"/>
      </w:pPr>
      <w:r>
        <w:t>What Module 1 does *not* do</w:t>
      </w:r>
    </w:p>
    <w:p/>
    <w:p>
      <w:r>
        <w:t>It does not perform registration, parcellation, or tissue classification. It answers only: *"Which named channel corresponds to which point in CT space?"*</w:t>
      </w:r>
    </w:p>
    <w:p/>
    <w:p/>
    <w:p/>
    <w:p>
      <w:pPr>
        <w:pStyle w:val="Heading1"/>
      </w:pPr>
      <w:r>
        <w:t>5. Module 2 — CT-to-MRI Registration</w:t>
      </w:r>
    </w:p>
    <w:p/>
    <w:p>
      <w:pPr>
        <w:pStyle w:val="Heading2"/>
      </w:pPr>
      <w:r>
        <w:t>Scientific role</w:t>
      </w:r>
    </w:p>
    <w:p/>
    <w:p>
      <w:r>
        <w:rPr>
          <w:b w:val="0"/>
        </w:rPr>
        <w:t xml:space="preserve">Module 2 applies the rigid transform </w:t>
      </w:r>
      <w:r>
        <w:rPr>
          <w:b/>
        </w:rPr>
        <w:t>T</w:t>
      </w:r>
      <w:r>
        <w:rPr>
          <w:b w:val="0"/>
        </w:rPr>
        <w:t xml:space="preserve"> to every labeled contact so that electrophysiology can be interpreted against </w:t>
      </w:r>
      <w:r>
        <w:rPr>
          <w:b/>
        </w:rPr>
        <w:t>MRI-visible anatomy</w:t>
      </w:r>
      <w:r>
        <w:rPr>
          <w:b w:val="0"/>
        </w:rPr>
        <w:t xml:space="preserve"> (cortex, ventricles, hippocampus, resection cavities on later scans).</w:t>
      </w:r>
    </w:p>
    <w:p/>
    <w:p>
      <w:pPr>
        <w:pStyle w:val="Heading2"/>
      </w:pPr>
      <w:r>
        <w:t>Preprocessing: CT skull / electrode isolation</w:t>
      </w:r>
    </w:p>
    <w:p/>
    <w:p>
      <w:r>
        <w:rPr>
          <w:b w:val="0"/>
        </w:rPr>
        <w:t xml:space="preserve">Before registration, the CT is </w:t>
      </w:r>
      <w:r>
        <w:rPr>
          <w:b/>
        </w:rPr>
        <w:t>thresholded</w:t>
      </w:r>
      <w:r>
        <w:rPr>
          <w:b w:val="0"/>
        </w:rPr>
        <w:t xml:space="preserve"> so that primarily </w:t>
      </w:r>
      <w:r>
        <w:rPr>
          <w:b/>
        </w:rPr>
        <w:t>skull and electrodes</w:t>
      </w:r>
      <w:r>
        <w:rPr>
          <w:b w:val="0"/>
        </w:rPr>
        <w:t xml:space="preserve"> remain visible. Rationale:</w:t>
      </w:r>
    </w:p>
    <w:p/>
    <w:p>
      <w:pPr>
        <w:pStyle w:val="ListBullet"/>
      </w:pPr>
      <w:r>
        <w:rPr>
          <w:b w:val="0"/>
        </w:rPr>
        <w:t xml:space="preserve">Mutual information registration between full CT and MRI is dominated by </w:t>
      </w:r>
      <w:r>
        <w:rPr>
          <w:b/>
        </w:rPr>
        <w:t>shared skull geometry</w:t>
      </w:r>
      <w:r>
        <w:rPr>
          <w:b w:val="0"/>
        </w:rPr>
        <w:t>, which is approximately rigid between scans.</w:t>
      </w:r>
    </w:p>
    <w:p>
      <w:pPr>
        <w:pStyle w:val="ListBullet"/>
      </w:pPr>
      <w:r>
        <w:t>Electrode bright spots provide additional fiducial-like constraints along the skull interior.</w:t>
      </w:r>
    </w:p>
    <w:p>
      <w:pPr>
        <w:pStyle w:val="ListBullet"/>
      </w:pPr>
      <w:r>
        <w:t>Suppressing soft-tissue CT signal reduces misleading matches from postoperative changes.</w:t>
      </w:r>
    </w:p>
    <w:p/>
    <w:p>
      <w:pPr>
        <w:pStyle w:val="Heading2"/>
      </w:pPr>
      <w:r>
        <w:t>Registration algorithms</w:t>
      </w:r>
    </w:p>
    <w:p/>
    <w:p>
      <w:r>
        <w:rPr>
          <w:b w:val="0"/>
        </w:rPr>
      </w:r>
      <w:r>
        <w:rPr>
          <w:b/>
        </w:rPr>
        <w:t>Greedy (recommended):</w:t>
      </w:r>
      <w:r>
        <w:rPr>
          <w:b w:val="0"/>
        </w:rPr>
        <w:t xml:space="preserve"> A multiresolution optimizer maximizing </w:t>
      </w:r>
      <w:r>
        <w:rPr>
          <w:b/>
        </w:rPr>
        <w:t>normalized mutual information (NMI)</w:t>
      </w:r>
      <w:r>
        <w:rPr>
          <w:b w:val="0"/>
        </w:rPr>
        <w:t xml:space="preserve"> between CT and MRI intensity distributions. NMI is well suited to </w:t>
      </w:r>
      <w:r>
        <w:rPr>
          <w:b/>
        </w:rPr>
        <w:t>multimodal</w:t>
      </w:r>
      <w:r>
        <w:rPr>
          <w:b w:val="0"/>
        </w:rPr>
        <w:t xml:space="preserve"> alignment because it does not assume linear intensity relationship between modalities—only statistical dependence.</w:t>
      </w:r>
    </w:p>
    <w:p/>
    <w:p>
      <w:r>
        <w:rPr>
          <w:b w:val="0"/>
        </w:rPr>
      </w:r>
      <w:r>
        <w:rPr>
          <w:b/>
        </w:rPr>
        <w:t>FLIRT (fallback):</w:t>
      </w:r>
      <w:r>
        <w:rPr>
          <w:b w:val="0"/>
        </w:rPr>
        <w:t xml:space="preserve"> FSL's linear registration with mutual information cost and histogram binning. Used when Greedy fails or for comparison.</w:t>
      </w:r>
    </w:p>
    <w:p/>
    <w:p>
      <w:r>
        <w:rPr>
          <w:b w:val="0"/>
        </w:rPr>
        <w:t xml:space="preserve">Both estimate </w:t>
      </w:r>
      <w:r>
        <w:rPr>
          <w:b/>
        </w:rPr>
        <w:t>6-DOF rigid</w:t>
      </w:r>
      <w:r>
        <w:rPr>
          <w:b w:val="0"/>
        </w:rPr>
        <w:t xml:space="preserve"> transforms. Affine or nonlinear warps are not the default because the primary goal is global head-frame alignment; local brain shift for ECoG is a separate optional step.</w:t>
      </w:r>
    </w:p>
    <w:p/>
    <w:p>
      <w:pPr>
        <w:pStyle w:val="Heading2"/>
      </w:pPr>
      <w:r>
        <w:t>Transform application to contacts</w:t>
      </w:r>
    </w:p>
    <w:p/>
    <w:p>
      <w:r>
        <w:rPr>
          <w:b w:val="0"/>
        </w:rPr>
        <w:t xml:space="preserve">Each VoxTool point </w:t>
      </w:r>
      <w:r>
        <w:rPr>
          <w:b/>
        </w:rPr>
        <w:t>p</w:t>
      </w:r>
      <w:r>
        <w:rPr>
          <w:b w:val="0"/>
        </w:rPr>
        <w:t xml:space="preserve"> in CT indices/mm is transformed:</w:t>
      </w:r>
    </w:p>
    <w:p/>
    <w:p>
      <w:pPr>
        <w:ind w:left="360"/>
      </w:pPr>
      <w:r>
        <w:rPr>
          <w:rFonts w:ascii="Courier New" w:hAnsi="Courier New"/>
          <w:sz w:val="18"/>
        </w:rPr>
        <w:t>p_MRI = T_CT→MRI(p_CT)</w:t>
      </w:r>
    </w:p>
    <w:p/>
    <w:p>
      <w:r>
        <w:t>The pipeline also generates:</w:t>
      </w:r>
    </w:p>
    <w:p/>
    <w:p>
      <w:pPr>
        <w:pStyle w:val="ListBullet"/>
      </w:pPr>
      <w:r>
        <w:rPr>
          <w:b w:val="0"/>
        </w:rPr>
      </w:r>
      <w:r>
        <w:rPr>
          <w:b/>
        </w:rPr>
        <w:t>Thresholded CT in MRI space</w:t>
      </w:r>
      <w:r>
        <w:rPr>
          <w:b w:val="0"/>
        </w:rPr>
        <w:t xml:space="preserve"> — visual overlay for QA.</w:t>
      </w:r>
    </w:p>
    <w:p>
      <w:pPr>
        <w:pStyle w:val="ListBullet"/>
      </w:pPr>
      <w:r>
        <w:rPr>
          <w:b w:val="0"/>
        </w:rPr>
      </w:r>
      <w:r>
        <w:rPr>
          <w:b/>
        </w:rPr>
        <w:t>Electrode sphere maps</w:t>
      </w:r>
      <w:r>
        <w:rPr>
          <w:b w:val="0"/>
        </w:rPr>
        <w:t xml:space="preserve"> — small binary volumes around each contact for visualization.</w:t>
      </w:r>
    </w:p>
    <w:p>
      <w:pPr>
        <w:pStyle w:val="ListBullet"/>
      </w:pPr>
      <w:r>
        <w:rPr>
          <w:b w:val="0"/>
        </w:rPr>
      </w:r>
      <w:r>
        <w:rPr>
          <w:b/>
        </w:rPr>
        <w:t>HTML report + ITK-SNAP workspace</w:t>
      </w:r>
      <w:r>
        <w:rPr>
          <w:b w:val="0"/>
        </w:rPr>
        <w:t xml:space="preserve"> — human verification that CT skull and electrodes align with MRI anatomy.</w:t>
      </w:r>
    </w:p>
    <w:p/>
    <w:p>
      <w:pPr>
        <w:pStyle w:val="Heading2"/>
      </w:pPr>
      <w:r>
        <w:t>Quality assurance as part of the scientific method</w:t>
      </w:r>
    </w:p>
    <w:p/>
    <w:p>
      <w:r>
        <w:rPr>
          <w:b w:val="0"/>
        </w:rPr>
        <w:t xml:space="preserve">The paper validates reconstruction with </w:t>
      </w:r>
      <w:r>
        <w:rPr>
          <w:b/>
        </w:rPr>
        <w:t>board-certified neuroradiologist review</w:t>
      </w:r>
      <w:r>
        <w:rPr>
          <w:b w:val="0"/>
        </w:rPr>
        <w:t xml:space="preserve"> of these overlays—not blind trust in the optimizer. Misregistration of even 2–3 mm can misassign contacts across gyri or gray/white boundaries, directly affecting SOZ interpretation.</w:t>
      </w:r>
    </w:p>
    <w:p/>
    <w:p/>
    <w:p/>
    <w:p>
      <w:pPr>
        <w:pStyle w:val="Heading1"/>
      </w:pPr>
      <w:r>
        <w:t>6. Module 3 — Anatomical and Tissue Assignment</w:t>
      </w:r>
    </w:p>
    <w:p/>
    <w:p>
      <w:pPr>
        <w:pStyle w:val="Heading2"/>
      </w:pPr>
      <w:r>
        <w:t>Scientific role</w:t>
      </w:r>
    </w:p>
    <w:p/>
    <w:p>
      <w:r>
        <w:rPr>
          <w:b w:val="0"/>
        </w:rPr>
        <w:t xml:space="preserve">Once contacts exist in MRI space, Module 3 answers: </w:t>
      </w:r>
      <w:r>
        <w:rPr>
          <w:b/>
        </w:rPr>
        <w:t>what brain structure does each contact sample?</w:t>
      </w:r>
      <w:r>
        <w:rPr>
          <w:b w:val="0"/>
        </w:rPr>
        <w:t xml:space="preserve"> This enables:</w:t>
      </w:r>
    </w:p>
    <w:p/>
    <w:p>
      <w:pPr>
        <w:pStyle w:val="ListBullet"/>
      </w:pPr>
      <w:r>
        <w:t>Clinical mapping (e.g., "seizure onset channel sits in left hippocampus").</w:t>
      </w:r>
    </w:p>
    <w:p>
      <w:pPr>
        <w:pStyle w:val="ListBullet"/>
      </w:pPr>
      <w:r>
        <w:t>Research group analyses (common atlas labels across subjects).</w:t>
      </w:r>
    </w:p>
    <w:p>
      <w:pPr>
        <w:pStyle w:val="ListBullet"/>
      </w:pPr>
      <w:r>
        <w:t>Tissue-aware statistics (gray matter vs. white matter vs. CSF sampling).</w:t>
      </w:r>
    </w:p>
    <w:p/>
    <w:p>
      <w:pPr>
        <w:pStyle w:val="Heading2"/>
      </w:pPr>
      <w:r>
        <w:t>Step A — Brain segmentation (ANTsPyNet)</w:t>
      </w:r>
    </w:p>
    <w:p/>
    <w:p>
      <w:r>
        <w:rPr>
          <w:b w:val="0"/>
        </w:rPr>
        <w:t xml:space="preserve">Traditional FreeSurfer `recon-all` parcellation is accurate but slow (~5 hours). iEEG-recon defaults to </w:t>
      </w:r>
      <w:r>
        <w:rPr>
          <w:b/>
        </w:rPr>
        <w:t>ANTsPyNet</w:t>
      </w:r>
      <w:r>
        <w:rPr>
          <w:b w:val="0"/>
        </w:rPr>
        <w:t>, a deep learning framework built on ANTs and TensorFlow that predicts:</w:t>
      </w:r>
    </w:p>
    <w:p/>
    <w:p>
      <w:pPr>
        <w:pStyle w:val="ListBullet"/>
      </w:pPr>
      <w:r>
        <w:rPr>
          <w:b w:val="0"/>
        </w:rPr>
      </w:r>
      <w:r>
        <w:rPr>
          <w:b/>
        </w:rPr>
        <w:t>DKT cortical parcellation</w:t>
      </w:r>
      <w:r>
        <w:rPr>
          <w:b w:val="0"/>
        </w:rPr>
        <w:t xml:space="preserve"> (Desikan–Killiany–Tourville labels).</w:t>
      </w:r>
    </w:p>
    <w:p>
      <w:pPr>
        <w:pStyle w:val="ListBullet"/>
      </w:pPr>
      <w:r>
        <w:rPr>
          <w:b w:val="0"/>
        </w:rPr>
      </w:r>
      <w:r>
        <w:rPr>
          <w:b/>
        </w:rPr>
        <w:t>Atropos tissue classes</w:t>
      </w:r>
      <w:r>
        <w:rPr>
          <w:b w:val="0"/>
        </w:rPr>
        <w:t xml:space="preserve"> (CSF, gray matter, white matter, deep gray, etc.).</w:t>
      </w:r>
    </w:p>
    <w:p/>
    <w:p>
      <w:r>
        <w:rPr>
          <w:b w:val="0"/>
        </w:rPr>
        <w:t xml:space="preserve">Scientific justification: Convolutional networks trained on large neuroimaging cohorts approximate the nonlinear mapping from T1w intensity patterns to tissue class </w:t>
      </w:r>
      <w:r>
        <w:rPr>
          <w:b/>
        </w:rPr>
        <w:t>without</w:t>
      </w:r>
      <w:r>
        <w:rPr>
          <w:b w:val="0"/>
        </w:rPr>
        <w:t xml:space="preserve"> explicit generative models. Lucas et al. report </w:t>
      </w:r>
      <w:r>
        <w:rPr>
          <w:b/>
        </w:rPr>
        <w:t>Pearson r = 0.96</w:t>
      </w:r>
      <w:r>
        <w:rPr>
          <w:b w:val="0"/>
        </w:rPr>
        <w:t xml:space="preserve"> agreement with FreeSurfer for electrode region assignments, with ~30× speedup—making same-day clinical review feasible.</w:t>
      </w:r>
    </w:p>
    <w:p/>
    <w:p>
      <w:pPr>
        <w:pStyle w:val="Heading2"/>
      </w:pPr>
      <w:r>
        <w:t>Step B — Sphere-based ROI assignment</w:t>
      </w:r>
    </w:p>
    <w:p/>
    <w:p>
      <w:r>
        <w:rPr>
          <w:b w:val="0"/>
        </w:rPr>
        <w:t xml:space="preserve">For each contact at position </w:t>
      </w:r>
      <w:r>
        <w:rPr>
          <w:b/>
        </w:rPr>
        <w:t>c</w:t>
      </w:r>
      <w:r>
        <w:rPr>
          <w:b w:val="0"/>
        </w:rPr>
        <w:t xml:space="preserve"> in MRI mm space, the pipeline constructs a sphere </w:t>
      </w:r>
      <w:r>
        <w:rPr>
          <w:b/>
        </w:rPr>
        <w:t>S(c, r)</w:t>
      </w:r>
      <w:r>
        <w:rPr>
          <w:b w:val="0"/>
        </w:rPr>
        <w:t xml:space="preserve"> of user-specified radius </w:t>
      </w:r>
      <w:r>
        <w:rPr>
          <w:b/>
        </w:rPr>
        <w:t>r</w:t>
      </w:r>
      <w:r>
        <w:rPr>
          <w:b w:val="0"/>
        </w:rPr>
        <w:t xml:space="preserve"> (commonly 2 mm). Each atlas label </w:t>
      </w:r>
      <w:r>
        <w:rPr>
          <w:b/>
        </w:rPr>
        <w:t>L</w:t>
      </w:r>
      <w:r>
        <w:rPr>
          <w:b w:val="0"/>
        </w:rPr>
        <w:t xml:space="preserve"> receives a score:</w:t>
      </w:r>
    </w:p>
    <w:p/>
    <w:p>
      <w:pPr>
        <w:ind w:left="360"/>
      </w:pPr>
      <w:r>
        <w:rPr>
          <w:rFonts w:ascii="Courier New" w:hAnsi="Courier New"/>
          <w:sz w:val="18"/>
        </w:rPr>
        <w:t>overlap(L) = |S(c, r) ∩ region_L| / |S(c, r)|</w:t>
      </w:r>
    </w:p>
    <w:p/>
    <w:p>
      <w:r>
        <w:rPr>
          <w:b w:val="0"/>
        </w:rPr>
        <w:t xml:space="preserve">The label with </w:t>
      </w:r>
      <w:r>
        <w:rPr>
          <w:b/>
        </w:rPr>
        <w:t>maximum overlap</w:t>
      </w:r>
      <w:r>
        <w:rPr>
          <w:b w:val="0"/>
        </w:rPr>
        <w:t xml:space="preserve"> is the primary assignment. The pipeline also exports </w:t>
      </w:r>
      <w:r>
        <w:rPr>
          <w:b/>
        </w:rPr>
        <w:t>ranked partial overlaps</w:t>
      </w:r>
      <w:r>
        <w:rPr>
          <w:b w:val="0"/>
        </w:rPr>
        <w:t xml:space="preserve"> for all contacted regions—important because:</w:t>
      </w:r>
    </w:p>
    <w:p/>
    <w:p>
      <w:pPr>
        <w:pStyle w:val="ListBullet"/>
      </w:pPr>
      <w:r>
        <w:t>A 2 mm sphere may span gray/white boundary or sulcal CSF.</w:t>
      </w:r>
    </w:p>
    <w:p>
      <w:pPr>
        <w:pStyle w:val="ListBullet"/>
      </w:pPr>
      <w:r>
        <w:t>Depth electrodes may sit in white matter while nominally targeting a cortical gyrus; secondary overlaps carry scientific meaning.</w:t>
      </w:r>
    </w:p>
    <w:p/>
    <w:p>
      <w:pPr>
        <w:pStyle w:val="Heading2"/>
      </w:pPr>
      <w:r>
        <w:t>Atlas options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Atlas type</w:t>
            </w:r>
          </w:p>
        </w:tc>
        <w:tc>
          <w:tcPr>
            <w:tcW w:type="dxa" w:w="4320"/>
          </w:tcPr>
          <w:p>
            <w:r>
              <w:t>Use case</w:t>
            </w:r>
          </w:p>
        </w:tc>
      </w:tr>
      <w:tr>
        <w:tc>
          <w:tcPr>
            <w:tcW w:type="dxa" w:w="4320"/>
          </w:tcPr>
          <w:p>
            <w:r>
              <w:t>DKT (ANTsPyNet)</w:t>
            </w:r>
          </w:p>
        </w:tc>
        <w:tc>
          <w:tcPr>
            <w:tcW w:type="dxa" w:w="4320"/>
          </w:tcPr>
          <w:p>
            <w:r>
              <w:t>Lobar / gyral labels (clinical &amp; research standard)</w:t>
            </w:r>
          </w:p>
        </w:tc>
      </w:tr>
      <w:tr>
        <w:tc>
          <w:tcPr>
            <w:tcW w:type="dxa" w:w="4320"/>
          </w:tcPr>
          <w:p>
            <w:r>
              <w:t>Atropos tissues</w:t>
            </w:r>
          </w:p>
        </w:tc>
        <w:tc>
          <w:tcPr>
            <w:tcW w:type="dxa" w:w="4320"/>
          </w:tcPr>
          <w:p>
            <w:r>
              <w:t>WM / GM / CSF fractions (matches paper tissue statistics)</w:t>
            </w:r>
          </w:p>
        </w:tc>
      </w:tr>
      <w:tr>
        <w:tc>
          <w:tcPr>
            <w:tcW w:type="dxa" w:w="4320"/>
          </w:tcPr>
          <w:p>
            <w:r>
              <w:t>MNI atlases (AAL, Schaefer, …)</w:t>
            </w:r>
          </w:p>
        </w:tc>
        <w:tc>
          <w:tcPr>
            <w:tcW w:type="dxa" w:w="4320"/>
          </w:tcPr>
          <w:p>
            <w:r>
              <w:t>Group templates, functional network labels</w:t>
            </w:r>
          </w:p>
        </w:tc>
      </w:tr>
      <w:tr>
        <w:tc>
          <w:tcPr>
            <w:tcW w:type="dxa" w:w="4320"/>
          </w:tcPr>
          <w:p>
            <w:r>
              <w:t>ASHS, THOMAS</w:t>
            </w:r>
          </w:p>
        </w:tc>
        <w:tc>
          <w:tcPr>
            <w:tcW w:type="dxa" w:w="4320"/>
          </w:tcPr>
          <w:p>
            <w:r>
              <w:t>Hippocampal and thalamic subfields</w:t>
            </w:r>
          </w:p>
        </w:tc>
      </w:tr>
    </w:tbl>
    <w:p>
      <w:r>
        <w:rPr>
          <w:b w:val="0"/>
        </w:rPr>
        <w:t xml:space="preserve">Optional </w:t>
      </w:r>
      <w:r>
        <w:rPr>
          <w:b/>
        </w:rPr>
        <w:t>MNI registration</w:t>
      </w:r>
      <w:r>
        <w:rPr>
          <w:b w:val="0"/>
        </w:rPr>
        <w:t xml:space="preserve"> (antsRegistration, fMRIPrep-compatible) warps native MRI parcellations to </w:t>
      </w:r>
      <w:r>
        <w:rPr>
          <w:b/>
        </w:rPr>
        <w:t>MNI152</w:t>
      </w:r>
      <w:r>
        <w:rPr>
          <w:b w:val="0"/>
        </w:rPr>
        <w:t xml:space="preserve"> for multicenter aggregation.</w:t>
      </w:r>
    </w:p>
    <w:p/>
    <w:p>
      <w:pPr>
        <w:pStyle w:val="Heading2"/>
      </w:pPr>
      <w:r>
        <w:t>Interpretation caveats</w:t>
      </w:r>
    </w:p>
    <w:p/>
    <w:p>
      <w:pPr>
        <w:pStyle w:val="ListBullet"/>
      </w:pPr>
      <w:r>
        <w:rPr>
          <w:b w:val="0"/>
        </w:rPr>
      </w:r>
      <w:r>
        <w:rPr>
          <w:b/>
        </w:rPr>
        <w:t>Cortical atlases under-label white-matter contacts:</w:t>
      </w:r>
      <w:r>
        <w:rPr>
          <w:b w:val="0"/>
        </w:rPr>
        <w:t xml:space="preserve"> Depth SEEG shafts often show `EmptyLabel` as primary DKT assignment while Atropos correctly reports white matter—this is expected geometry, not pipeline failure.</w:t>
      </w:r>
    </w:p>
    <w:p>
      <w:pPr>
        <w:pStyle w:val="ListBullet"/>
      </w:pPr>
      <w:r>
        <w:rPr>
          <w:b w:val="0"/>
        </w:rPr>
      </w:r>
      <w:r>
        <w:rPr>
          <w:b/>
        </w:rPr>
        <w:t>Radius choice affects labels:</w:t>
      </w:r>
      <w:r>
        <w:rPr>
          <w:b w:val="0"/>
        </w:rPr>
        <w:t xml:space="preserve"> Smaller </w:t>
      </w:r>
      <w:r>
        <w:rPr>
          <w:b/>
        </w:rPr>
        <w:t>r</w:t>
      </w:r>
      <w:r>
        <w:rPr>
          <w:b w:val="0"/>
        </w:rPr>
        <w:t xml:space="preserve"> → more localized; larger </w:t>
      </w:r>
      <w:r>
        <w:rPr>
          <w:b/>
        </w:rPr>
        <w:t>r</w:t>
      </w:r>
      <w:r>
        <w:rPr>
          <w:b w:val="0"/>
        </w:rPr>
        <w:t xml:space="preserve"> → more mixed partial volumes.</w:t>
      </w:r>
    </w:p>
    <w:p>
      <w:pPr>
        <w:pStyle w:val="ListBullet"/>
      </w:pPr>
      <w:r>
        <w:rPr>
          <w:b w:val="0"/>
        </w:rPr>
      </w:r>
      <w:r>
        <w:rPr>
          <w:b/>
        </w:rPr>
        <w:t>Parcellation is probabilistic at the voxel level:</w:t>
      </w:r>
      <w:r>
        <w:rPr>
          <w:b w:val="0"/>
        </w:rPr>
        <w:t xml:space="preserve"> Sphere voting is a pragmatic deterministic summary, not a biophysical model of actual sampling volume of each contact.</w:t>
      </w:r>
    </w:p>
    <w:p/>
    <w:p/>
    <w:p/>
    <w:p>
      <w:pPr>
        <w:pStyle w:val="Heading1"/>
      </w:pPr>
      <w:r>
        <w:t>7. Optional Extensions</w:t>
      </w:r>
    </w:p>
    <w:p/>
    <w:p>
      <w:pPr>
        <w:pStyle w:val="Heading2"/>
      </w:pPr>
      <w:r>
        <w:t>Brain-shift correction (ECoG)</w:t>
      </w:r>
    </w:p>
    <w:p/>
    <w:p>
      <w:r>
        <w:rPr>
          <w:b w:val="0"/>
        </w:rPr>
        <w:t xml:space="preserve">After craniotomy, subdural grids can </w:t>
      </w:r>
      <w:r>
        <w:rPr>
          <w:b/>
        </w:rPr>
        <w:t>sink inward</w:t>
      </w:r>
      <w:r>
        <w:rPr>
          <w:b w:val="0"/>
        </w:rPr>
        <w:t xml:space="preserve"> relative to preoperative MRI.pial surface. A optional nonlinear energy-minimization step reposition surface contacts onto the pial mesh while preserving inter-contact distances, using FreeSurfer surface geometry. Applies to grids/strips, not depth shafts.</w:t>
      </w:r>
    </w:p>
    <w:p/>
    <w:p>
      <w:pPr>
        <w:pStyle w:val="Heading2"/>
      </w:pPr>
      <w:r>
        <w:t>Post-surgical MRI module</w:t>
      </w:r>
    </w:p>
    <w:p/>
    <w:p>
      <w:r>
        <w:rPr>
          <w:b w:val="0"/>
        </w:rPr>
        <w:t xml:space="preserve">When tissue is resected, a post-op MRI shows a cavity. Registering post-op → pre-op MRI identifies which </w:t>
      </w:r>
      <w:r>
        <w:rPr>
          <w:b/>
        </w:rPr>
        <w:t>pre-implant contact locations</w:t>
      </w:r>
      <w:r>
        <w:rPr>
          <w:b w:val="0"/>
        </w:rPr>
        <w:t xml:space="preserve"> would have fallen inside the resection—critical for correlating SOZ channels with surgical outcome.</w:t>
      </w:r>
    </w:p>
    <w:p/>
    <w:p>
      <w:pPr>
        <w:pStyle w:val="Heading2"/>
      </w:pPr>
      <w:r>
        <w:t>Defacing and cloud deployment</w:t>
      </w:r>
    </w:p>
    <w:p/>
    <w:p>
      <w:r>
        <w:t>For multicenter studies, MRI/CT defacing removes facial features before upload. Docker containers ensure identical software versions across sites—controlling a major source of reproducibility variance in neuroimaging pipelines.</w:t>
      </w:r>
    </w:p>
    <w:p/>
    <w:p/>
    <w:p/>
    <w:p>
      <w:pPr>
        <w:pStyle w:val="Heading1"/>
      </w:pPr>
      <w:r>
        <w:t>8. End-to-End Information Flow</w:t>
      </w:r>
    </w:p>
    <w:p/>
    <w:p>
      <w:r>
        <w:rPr>
          <w:b w:val="0"/>
          <w:i/>
          <w:sz w:val="22"/>
        </w:rPr>
        <w:t>[Diagram: see science.md for mermaid flowchart]</w:t>
      </w:r>
    </w:p>
    <w:p/>
    <w:p/>
    <w:p/>
    <w:p>
      <w:pPr>
        <w:pStyle w:val="Heading1"/>
      </w:pPr>
      <w:r>
        <w:t>9. What "Accuracy" Means in the Paper</w:t>
      </w:r>
    </w:p>
    <w:p/>
    <w:p>
      <w:r>
        <w:rPr>
          <w:b w:val="0"/>
        </w:rPr>
        <w:t xml:space="preserve">The Epilepsia validation is </w:t>
      </w:r>
      <w:r>
        <w:rPr>
          <w:b/>
        </w:rPr>
        <w:t>clinical and geometric</w:t>
      </w:r>
      <w:r>
        <w:rPr>
          <w:b w:val="0"/>
        </w:rPr>
        <w:t>, not a voxel-perfect ground truth for every contact:</w:t>
      </w:r>
    </w:p>
    <w:p/>
    <w:p>
      <w:pPr>
        <w:pStyle w:val="ListNumber"/>
      </w:pPr>
      <w:r>
        <w:t>**Neuroradiologist approval** of CT–MRI overlays and contact positions.</w:t>
      </w:r>
    </w:p>
    <w:p>
      <w:pPr>
        <w:pStyle w:val="ListNumber"/>
      </w:pPr>
      <w:r>
        <w:t>**Cohort-level tissue statistics** (WM/GM/CSF proportions at 2 mm) consistent with expected SEEG/ECoG sampling.</w:t>
      </w:r>
    </w:p>
    <w:p>
      <w:pPr>
        <w:pStyle w:val="ListNumber"/>
      </w:pPr>
      <w:r>
        <w:t>**Spatial bias** toward temporal lobe in a temporal epilepsy cohort.</w:t>
      </w:r>
    </w:p>
    <w:p>
      <w:pPr>
        <w:pStyle w:val="ListNumber"/>
      </w:pPr>
      <w:r>
        <w:t>**Robustness** across RNS hardware artifact and prior resections.</w:t>
      </w:r>
    </w:p>
    <w:p>
      <w:pPr>
        <w:pStyle w:val="ListNumber"/>
      </w:pPr>
      <w:r>
        <w:t>**Concordance** ANTsPyNet vs. FreeSurfer parcellation labels (r = 0.96).</w:t>
      </w:r>
    </w:p>
    <w:p/>
    <w:p>
      <w:r>
        <w:rPr>
          <w:b w:val="0"/>
        </w:rPr>
        <w:t xml:space="preserve">The pipeline does </w:t>
      </w:r>
      <w:r>
        <w:rPr>
          <w:b/>
        </w:rPr>
        <w:t>not</w:t>
      </w:r>
      <w:r>
        <w:rPr>
          <w:b w:val="0"/>
        </w:rPr>
        <w:t xml:space="preserve"> claim sub-millimeter ground truth against invasive stereotactic frames in all cases; it claims a </w:t>
      </w:r>
      <w:r>
        <w:rPr>
          <w:b/>
        </w:rPr>
        <w:t>practical, fast, reproducible workflow</w:t>
      </w:r>
      <w:r>
        <w:rPr>
          <w:b w:val="0"/>
        </w:rPr>
        <w:t xml:space="preserve"> that experts judge acceptable for clinical conference and research.</w:t>
      </w:r>
    </w:p>
    <w:p/>
    <w:p/>
    <w:p/>
    <w:p>
      <w:pPr>
        <w:pStyle w:val="Heading1"/>
      </w:pPr>
      <w:r>
        <w:t>10. Summary Table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Question answered</w:t>
            </w:r>
          </w:p>
        </w:tc>
        <w:tc>
          <w:tcPr>
            <w:tcW w:type="dxa" w:w="2160"/>
          </w:tcPr>
          <w:p>
            <w:r>
              <w:t>Key method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Module 1</w:t>
            </w:r>
          </w:p>
        </w:tc>
        <w:tc>
          <w:tcPr>
            <w:tcW w:type="dxa" w:w="2160"/>
          </w:tcPr>
          <w:p>
            <w:r>
              <w:t>Which channel is which point on CT?</w:t>
            </w:r>
          </w:p>
        </w:tc>
        <w:tc>
          <w:tcPr>
            <w:tcW w:type="dxa" w:w="2160"/>
          </w:tcPr>
          <w:p>
            <w:r>
              <w:t>Threshold + manual VoxTool + interpolation</w:t>
            </w:r>
          </w:p>
        </w:tc>
        <w:tc>
          <w:tcPr>
            <w:tcW w:type="dxa" w:w="2160"/>
          </w:tcPr>
          <w:p>
            <w:r>
              <w:t>`desc-vox_electrodes.txt`</w:t>
            </w:r>
          </w:p>
        </w:tc>
      </w:tr>
      <w:tr>
        <w:tc>
          <w:tcPr>
            <w:tcW w:type="dxa" w:w="2160"/>
          </w:tcPr>
          <w:p>
            <w:r>
              <w:t>Module 2</w:t>
            </w:r>
          </w:p>
        </w:tc>
        <w:tc>
          <w:tcPr>
            <w:tcW w:type="dxa" w:w="2160"/>
          </w:tcPr>
          <w:p>
            <w:r>
              <w:t>Where is that point in MRI space?</w:t>
            </w:r>
          </w:p>
        </w:tc>
        <w:tc>
          <w:tcPr>
            <w:tcW w:type="dxa" w:w="2160"/>
          </w:tcPr>
          <w:p>
            <w:r>
              <w:t>Rigid CT↔MRI registration (Greedy NMI)</w:t>
            </w:r>
          </w:p>
        </w:tc>
        <w:tc>
          <w:tcPr>
            <w:tcW w:type="dxa" w:w="2160"/>
          </w:tcPr>
          <w:p>
            <w:r>
              <w:t>mm coords, QA HTML, transforms</w:t>
            </w:r>
          </w:p>
        </w:tc>
      </w:tr>
      <w:tr>
        <w:tc>
          <w:tcPr>
            <w:tcW w:type="dxa" w:w="2160"/>
          </w:tcPr>
          <w:p>
            <w:r>
              <w:t>Module 3</w:t>
            </w:r>
          </w:p>
        </w:tc>
        <w:tc>
          <w:tcPr>
            <w:tcW w:type="dxa" w:w="2160"/>
          </w:tcPr>
          <w:p>
            <w:r>
              <w:t>What anatomy does it sample?</w:t>
            </w:r>
          </w:p>
        </w:tc>
        <w:tc>
          <w:tcPr>
            <w:tcW w:type="dxa" w:w="2160"/>
          </w:tcPr>
          <w:p>
            <w:r>
              <w:t>ANTsPyNet segmentation + sphere voting</w:t>
            </w:r>
          </w:p>
        </w:tc>
        <w:tc>
          <w:tcPr>
            <w:tcW w:type="dxa" w:w="2160"/>
          </w:tcPr>
          <w:p>
            <w:r>
              <w:t>DKT, tissue, optional MNI labels</w:t>
            </w:r>
          </w:p>
        </w:tc>
      </w:tr>
    </w:tbl>
    <w:p>
      <w:r>
        <w:rPr>
          <w:b w:val="0"/>
        </w:rPr>
        <w:t>Together, these stages implement the standard neurosurgical reasoning chain—</w:t>
      </w:r>
      <w:r>
        <w:rPr>
          <w:b/>
        </w:rPr>
        <w:t>visible contacts on CT → patient anatomy on MRI → named brain regions</w:t>
      </w:r>
      <w:r>
        <w:rPr>
          <w:b w:val="0"/>
        </w:rPr>
        <w:t>—in a containerized, auditable, and scalable form suitable for modern epilepsy centers and multicenter research.</w:t>
      </w:r>
    </w:p>
    <w:p/>
    <w:p/>
    <w:p/>
    <w:p>
      <w:pPr>
        <w:pStyle w:val="Heading1"/>
      </w:pPr>
      <w:r>
        <w:t>References</w:t>
      </w:r>
    </w:p>
    <w:p/>
    <w:p>
      <w:pPr>
        <w:pStyle w:val="ListNumber"/>
      </w:pPr>
      <w:r>
        <w:t>Lucas A, Scheid BH, Pattnaik AR, et al. iEEG-recon: A fast and scalable pipeline for accurate reconstruction of intracranial electrodes and implantable devices. *Epilepsia*. 2024;65:817–829.</w:t>
      </w:r>
    </w:p>
    <w:p>
      <w:pPr>
        <w:pStyle w:val="ListNumber"/>
      </w:pPr>
      <w:r>
        <w:t>iEEG-recon documentation: https://ieeg-recon.readthedocs.io</w:t>
      </w:r>
    </w:p>
    <w:p>
      <w:pPr>
        <w:pStyle w:val="ListNumber"/>
      </w:pPr>
      <w:r>
        <w:t>ANTsPyNet: https://github.com/ANTsX/ANTsPyNet</w:t>
      </w:r>
    </w:p>
    <w:p>
      <w:pPr>
        <w:pStyle w:val="ListNumber"/>
      </w:pPr>
      <w:r>
        <w:t>VoxTool: https://github.com/penn-cnt/voxTool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