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4be2aafe1eb7f5f817f119a2cd7ffca06ec92d"/>
      <w:r>
        <w:t xml:space="preserve">Builder Review — Jiang et al. 2024 (TLE biotypes + SuStaIn)</w:t>
      </w:r>
      <w:bookmarkEnd w:id="20"/>
    </w:p>
    <w:p>
      <w:pPr>
        <w:pStyle w:val="FirstParagraph"/>
      </w:pPr>
      <w:r>
        <w:t xml:space="preserve">Evaluation of the</w:t>
      </w:r>
      <w:r>
        <w:t xml:space="preserve"> </w:t>
      </w:r>
      <w:r>
        <w:rPr>
          <w:i/>
        </w:rPr>
        <w:t xml:space="preserve">Nature Communications</w:t>
      </w:r>
      <w:r>
        <w:t xml:space="preserve"> </w:t>
      </w:r>
      <w:r>
        <w:t xml:space="preserve">study and what a builder can realistically reuse, using the same Inzira Labs Builder Review layers as in a full framework doc (usability, reproducibility, performance, generalization, clinical use, interpretability, integration, limitations, builder insight).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Jiang Y, Li W, Li J, et al. </w:t>
      </w:r>
      <w:r>
        <w:rPr>
          <w:i/>
        </w:rPr>
        <w:t xml:space="preserve">Identification of four biotypes in temporal lobe epilepsy via machine learning on brain images.</w:t>
      </w:r>
      <w:r>
        <w:t xml:space="preserve"> </w:t>
      </w:r>
      <w:r>
        <w:t xml:space="preserve">Nat Commun. 2024;15:2221. https://doi.org/10.1038/s41467-024-46629-6</w:t>
      </w:r>
    </w:p>
    <w:p>
      <w:pPr>
        <w:pStyle w:val="BodyText"/>
      </w:pPr>
      <w:r>
        <w:rPr>
          <w:b/>
        </w:rPr>
        <w:t xml:space="preserve">Local kit:</w:t>
      </w:r>
      <w:r>
        <w:t xml:space="preserve"> </w:t>
      </w:r>
      <w:r>
        <w:t xml:space="preserve">this repository (</w:t>
      </w:r>
      <w:r>
        <w:rPr>
          <w:rStyle w:val="VerbatimChar"/>
        </w:rPr>
        <w:t xml:space="preserve">JIANG_2024_REPLICATION.md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vendor/pySuStaIn/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data/public_supplementary/</w:t>
      </w:r>
      <w:r>
        <w:t xml:space="preserve"> </w:t>
      </w:r>
      <w:r>
        <w:t xml:space="preserve">after download).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t xml:space="preserve">The paper identifies four MRI-derived biotypes in temporal lobe epilepsy using z-scored regional morphometry and Subtype and Stage Inference (SuStaIn), then links biotypes to clinical variables and prediction models. Raw imaging and subject-level feature matrices are not public; publisher Source Data spreadsheets support summary figures and tables.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layer-1-can-it-run"/>
      <w:r>
        <w:t xml:space="preserve">Layer 1 — Can it run?</w:t>
      </w:r>
      <w:bookmarkEnd w:id="22"/>
    </w:p>
    <w:p>
      <w:pPr>
        <w:pStyle w:val="Heading2"/>
      </w:pPr>
      <w:bookmarkStart w:id="23" w:name="usability"/>
      <w:r>
        <w:t xml:space="preserve">Usability</w:t>
      </w:r>
      <w:bookmarkEnd w:id="23"/>
    </w:p>
    <w:p>
      <w:pPr>
        <w:pStyle w:val="FirstParagraph"/>
      </w:pPr>
      <w:r>
        <w:t xml:space="preserve">For the published work:</w:t>
      </w:r>
    </w:p>
    <w:p>
      <w:pPr>
        <w:numPr>
          <w:ilvl w:val="0"/>
          <w:numId w:val="1001"/>
        </w:numPr>
        <w:pStyle w:val="Compact"/>
      </w:pPr>
      <w:r>
        <w:t xml:space="preserve">Methods and hyperparameters are documented (FreeSurfer 6.0, ROI set, z thresholds 1–2–3, MCMC settings, CVIC).</w:t>
      </w:r>
    </w:p>
    <w:p>
      <w:pPr>
        <w:numPr>
          <w:ilvl w:val="0"/>
          <w:numId w:val="1001"/>
        </w:numPr>
        <w:pStyle w:val="Compact"/>
      </w:pPr>
      <w:r>
        <w:t xml:space="preserve">Supplementary PDFs and Source Data (MOESM) are available from the publisher.</w:t>
      </w:r>
    </w:p>
    <w:p>
      <w:pPr>
        <w:pStyle w:val="FirstParagraph"/>
      </w:pPr>
      <w:r>
        <w:t xml:space="preserve">For an independent builder:</w:t>
      </w:r>
    </w:p>
    <w:p>
      <w:pPr>
        <w:numPr>
          <w:ilvl w:val="0"/>
          <w:numId w:val="1002"/>
        </w:numPr>
        <w:pStyle w:val="Compact"/>
      </w:pPr>
      <w:r>
        <w:t xml:space="preserve">You must supply T1 MRI, run cortical/subcortical extraction, and build a comparable z-score matrix with your own controls.</w:t>
      </w:r>
    </w:p>
    <w:p>
      <w:pPr>
        <w:numPr>
          <w:ilvl w:val="0"/>
          <w:numId w:val="1002"/>
        </w:numPr>
        <w:pStyle w:val="Compact"/>
      </w:pPr>
      <w:r>
        <w:t xml:space="preserve">This repo adds a CLI (</w:t>
      </w:r>
      <w:r>
        <w:rPr>
          <w:rStyle w:val="VerbatimChar"/>
        </w:rPr>
        <w:t xml:space="preserve">./sustain</w:t>
      </w:r>
      <w:r>
        <w:t xml:space="preserve">), Excel loaders, figure-style plots from Source Data, and a synthetic pySuStaIn demo—not a one-click replay of the full cohort.</w:t>
      </w:r>
    </w:p>
    <w:p>
      <w:pPr>
        <w:pStyle w:val="FirstParagraph"/>
      </w:pPr>
      <w:r>
        <w:t xml:space="preserve">However:</w:t>
      </w:r>
    </w:p>
    <w:p>
      <w:pPr>
        <w:numPr>
          <w:ilvl w:val="0"/>
          <w:numId w:val="1003"/>
        </w:numPr>
        <w:pStyle w:val="Compact"/>
      </w:pPr>
      <w:r>
        <w:t xml:space="preserve">End-to-end replication without raw data still leaves SuStaIn fitting and subtype assignment as a bring-your-own-features exercise.</w:t>
      </w:r>
    </w:p>
    <w:p>
      <w:pPr>
        <w:numPr>
          <w:ilvl w:val="0"/>
          <w:numId w:val="1003"/>
        </w:numPr>
        <w:pStyle w:val="Compact"/>
      </w:pPr>
      <w:r>
        <w:t xml:space="preserve">Tooling assumes Python skill, optional HPC, and FreeSurfer or equivalent outside this repo.</w:t>
      </w:r>
    </w:p>
    <w:p>
      <w:pPr>
        <w:pStyle w:val="Heading2"/>
      </w:pPr>
      <w:bookmarkStart w:id="24" w:name="reproducibility"/>
      <w:r>
        <w:t xml:space="preserve">Reproducibility</w:t>
      </w:r>
      <w:bookmarkEnd w:id="24"/>
    </w:p>
    <w:p>
      <w:pPr>
        <w:pStyle w:val="FirstParagraph"/>
      </w:pPr>
      <w:r>
        <w:t xml:space="preserve">What aligns with the paper without private data:</w:t>
      </w:r>
    </w:p>
    <w:p>
      <w:pPr>
        <w:numPr>
          <w:ilvl w:val="0"/>
          <w:numId w:val="1004"/>
        </w:numPr>
        <w:pStyle w:val="Compact"/>
      </w:pPr>
      <w:r>
        <w:t xml:space="preserve">Aggregate plots and tables driven from Source Data (e.g. Fig. 2–3–style summaries in predict_epi) can match published values when using the same spreadsheets.</w:t>
      </w:r>
    </w:p>
    <w:p>
      <w:pPr>
        <w:pStyle w:val="FirstParagraph"/>
      </w:pPr>
      <w:r>
        <w:t xml:space="preserve">What does not fully reproduce from supplements alone:</w:t>
      </w:r>
    </w:p>
    <w:p>
      <w:pPr>
        <w:numPr>
          <w:ilvl w:val="0"/>
          <w:numId w:val="1005"/>
        </w:numPr>
        <w:pStyle w:val="Compact"/>
      </w:pPr>
      <w:r>
        <w:t xml:space="preserve">Subject-level z-scores, SuStaIn MCMC chains, trajectory ordering, and individual biotype labels require the authors’ feature matrix or refitting on a new cohort.</w:t>
      </w:r>
    </w:p>
    <w:p>
      <w:pPr>
        <w:numPr>
          <w:ilvl w:val="0"/>
          <w:numId w:val="1005"/>
        </w:numPr>
        <w:pStyle w:val="Compact"/>
      </w:pPr>
      <w:r>
        <w:t xml:space="preserve">Downstream classifiers (e.g. SVM + PCA) inherit the same data boundary: labels and features must be reconstructed locally.</w:t>
      </w:r>
    </w:p>
    <w:p>
      <w:pPr>
        <w:pStyle w:val="FirstParagraph"/>
      </w:pPr>
      <w:r>
        <w:t xml:space="preserve">Observed:</w:t>
      </w:r>
    </w:p>
    <w:p>
      <w:pPr>
        <w:numPr>
          <w:ilvl w:val="0"/>
          <w:numId w:val="1006"/>
        </w:numPr>
        <w:pStyle w:val="Compact"/>
      </w:pPr>
      <w:r>
        <w:t xml:space="preserve">Sensitivity to random starts (25), MCMC length, and control-sample regression is expected; the paper reports robustness checks in supplementary material.</w:t>
      </w:r>
    </w:p>
    <w:p>
      <w:pPr>
        <w:numPr>
          <w:ilvl w:val="0"/>
          <w:numId w:val="1006"/>
        </w:numPr>
        <w:pStyle w:val="Compact"/>
      </w:pPr>
      <w:r>
        <w:t xml:space="preserve">Any new site must re-derive z-scores; thresholds are not automatically transferable without harmonization.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layer-2-does-it-work"/>
      <w:r>
        <w:t xml:space="preserve">Layer 2 — Does it work?</w:t>
      </w:r>
      <w:bookmarkEnd w:id="25"/>
    </w:p>
    <w:p>
      <w:pPr>
        <w:pStyle w:val="Heading3"/>
      </w:pPr>
      <w:bookmarkStart w:id="26" w:name="performance"/>
      <w:r>
        <w:t xml:space="preserve">Performance</w:t>
      </w:r>
      <w:bookmarkEnd w:id="26"/>
    </w:p>
    <w:p>
      <w:pPr>
        <w:pStyle w:val="FirstParagraph"/>
      </w:pPr>
      <w:r>
        <w:t xml:space="preserve">The paper reports group separations, associations with clinical variables, and prediction metrics on their cohort. Those numbers are tied to their preprocessing and population.</w:t>
      </w:r>
    </w:p>
    <w:p>
      <w:pPr>
        <w:pStyle w:val="BodyText"/>
      </w:pPr>
      <w:r>
        <w:t xml:space="preserve">Observed for an external builder:</w:t>
      </w:r>
    </w:p>
    <w:p>
      <w:pPr>
        <w:numPr>
          <w:ilvl w:val="0"/>
          <w:numId w:val="1007"/>
        </w:numPr>
        <w:pStyle w:val="Compact"/>
      </w:pPr>
      <w:r>
        <w:t xml:space="preserve">You should expect to validate de novo on your data; performance should not be assumed to port.</w:t>
      </w:r>
    </w:p>
    <w:p>
      <w:pPr>
        <w:numPr>
          <w:ilvl w:val="0"/>
          <w:numId w:val="1007"/>
        </w:numPr>
        <w:pStyle w:val="Compact"/>
      </w:pPr>
      <w:r>
        <w:t xml:space="preserve">The bundled synthetic SuStaIn run only exercises the Z-score / piecewise model class—it does not benchmark against the paper’s metrics.</w:t>
      </w:r>
    </w:p>
    <w:p>
      <w:pPr>
        <w:pStyle w:val="Heading2"/>
      </w:pPr>
      <w:bookmarkStart w:id="27" w:name="generalization"/>
      <w:r>
        <w:t xml:space="preserve">Generalization</w:t>
      </w:r>
      <w:bookmarkEnd w:id="27"/>
    </w:p>
    <w:p>
      <w:pPr>
        <w:pStyle w:val="FirstParagraph"/>
      </w:pPr>
      <w:r>
        <w:t xml:space="preserve">Cross-scanner, cross-site, and pediatric or mixed-epilepsy populations are not established by the single-cohort study.</w:t>
      </w:r>
    </w:p>
    <w:p>
      <w:pPr>
        <w:numPr>
          <w:ilvl w:val="0"/>
          <w:numId w:val="1008"/>
        </w:numPr>
        <w:pStyle w:val="Compact"/>
      </w:pPr>
      <w:r>
        <w:t xml:space="preserve">SuStaIn subtypes are defined relative to the normative model and ROI set; changing atlas, software version, or covariate regression changes the latent space.</w:t>
      </w:r>
    </w:p>
    <w:p>
      <w:pPr>
        <w:numPr>
          <w:ilvl w:val="0"/>
          <w:numId w:val="1008"/>
        </w:numPr>
        <w:pStyle w:val="Compact"/>
      </w:pPr>
      <w:r>
        <w:t xml:space="preserve">There is no public pretrained SuStaIn pickle that assigns new patients to the authors’ four biotypes out of the box.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yer-3-can-it-be-used"/>
      <w:r>
        <w:t xml:space="preserve">Layer 3 — Can it be used?</w:t>
      </w:r>
      <w:bookmarkEnd w:id="28"/>
    </w:p>
    <w:p>
      <w:pPr>
        <w:pStyle w:val="Heading2"/>
      </w:pPr>
      <w:bookmarkStart w:id="29" w:name="clinical-relevance"/>
      <w:r>
        <w:t xml:space="preserve">Clinical relevance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Biotypes plus stages could enrich stratification and trial design if validated locally.</w:t>
      </w:r>
    </w:p>
    <w:p>
      <w:pPr>
        <w:numPr>
          <w:ilvl w:val="0"/>
          <w:numId w:val="1009"/>
        </w:numPr>
        <w:pStyle w:val="Compact"/>
      </w:pPr>
      <w:r>
        <w:t xml:space="preserve">Workflow gap: routine clinical MRI pipelines rarely output the exact ROI z-score table SuStaIn expects; research-grade preprocessing is still a prerequisite.</w:t>
      </w:r>
    </w:p>
    <w:p>
      <w:pPr>
        <w:numPr>
          <w:ilvl w:val="0"/>
          <w:numId w:val="1009"/>
        </w:numPr>
        <w:pStyle w:val="Compact"/>
      </w:pPr>
      <w:r>
        <w:t xml:space="preserve">Regulatory and deployment paths (CADx-style use) are not addressed in the paper and would need separate evidence.</w:t>
      </w:r>
    </w:p>
    <w:p>
      <w:pPr>
        <w:pStyle w:val="Heading2"/>
      </w:pPr>
      <w:bookmarkStart w:id="30" w:name="interpretability-and-trust"/>
      <w:r>
        <w:t xml:space="preserve">Interpretability and trust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SuStaIn outputs are interpretable at the level of ordered ROI events and subtype means, which is stronger than a black-box embedding alone.</w:t>
      </w:r>
    </w:p>
    <w:p>
      <w:pPr>
        <w:numPr>
          <w:ilvl w:val="0"/>
          <w:numId w:val="1010"/>
        </w:numPr>
        <w:pStyle w:val="Compact"/>
      </w:pPr>
      <w:r>
        <w:t xml:space="preserve">Trust still depends on QC of FreeSurfer outputs, motion, and segmentation failures—failure modes may concentrate in specific biotypes.</w:t>
      </w:r>
    </w:p>
    <w:p>
      <w:pPr>
        <w:pStyle w:val="Heading2"/>
      </w:pPr>
      <w:bookmarkStart w:id="31" w:name="integration-potential"/>
      <w:r>
        <w:t xml:space="preserve">Integration potential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Research integration: pySuStaIn, ENIGMA-style visualization, and BIDS-oriented preprocessing stacks (e.g. containerized neuroimaging environments) are natural adjacent layers.</w:t>
      </w:r>
    </w:p>
    <w:p>
      <w:pPr>
        <w:numPr>
          <w:ilvl w:val="0"/>
          <w:numId w:val="1011"/>
        </w:numPr>
        <w:pStyle w:val="Compact"/>
      </w:pPr>
      <w:r>
        <w:t xml:space="preserve">Clinical integration: would require DICOM → structured morphometry → QC → SuStaIn → reporting; none of that is turnkey in supplementary files alone.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limitations-and-failure-modes"/>
      <w:r>
        <w:t xml:space="preserve">Limitations and failure modes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Private imaging and features block exact numerical replication of SuStaIn fits.</w:t>
      </w:r>
    </w:p>
    <w:p>
      <w:pPr>
        <w:numPr>
          <w:ilvl w:val="0"/>
          <w:numId w:val="1012"/>
        </w:numPr>
        <w:pStyle w:val="Compact"/>
      </w:pPr>
      <w:r>
        <w:t xml:space="preserve">Subtype count selection (CVIC) and trajectory structure can shift with cohort composition.</w:t>
      </w:r>
    </w:p>
    <w:p>
      <w:pPr>
        <w:numPr>
          <w:ilvl w:val="0"/>
          <w:numId w:val="1012"/>
        </w:numPr>
        <w:pStyle w:val="Compact"/>
      </w:pPr>
      <w:r>
        <w:t xml:space="preserve">Class imbalance, comorbidities, and surgical candidacy may distort apparent biotype–outcome relationships if not modeled.</w:t>
      </w:r>
    </w:p>
    <w:p>
      <w:pPr>
        <w:numPr>
          <w:ilvl w:val="0"/>
          <w:numId w:val="1012"/>
        </w:numPr>
        <w:pStyle w:val="Compact"/>
      </w:pPr>
      <w:r>
        <w:t xml:space="preserve">The local demo uses synthetic data; it must not be mistaken for empirical results.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builder-insight"/>
      <w:r>
        <w:t xml:space="preserve">Builder insight</w:t>
      </w:r>
      <w:bookmarkEnd w:id="33"/>
    </w:p>
    <w:p>
      <w:pPr>
        <w:pStyle w:val="FirstParagraph"/>
      </w:pPr>
      <w:r>
        <w:t xml:space="preserve">The paper is strong on scientific framing and public summaries; the builder gap is the missing feature matrix and harmonization story for new sites. A practical path is: standardize preprocessing, mirror the ROI/covariate regression protocol, refit SuStaIn, then run prospective validation before any deployment narrative.</w:t>
      </w:r>
    </w:p>
    <w:p>
      <w:pPr>
        <w:pStyle w:val="BodyText"/>
      </w:pPr>
      <w:r>
        <w:t xml:space="preserve">Potential extensions:</w:t>
      </w:r>
    </w:p>
    <w:p>
      <w:pPr>
        <w:numPr>
          <w:ilvl w:val="0"/>
          <w:numId w:val="1013"/>
        </w:numPr>
        <w:pStyle w:val="Compact"/>
      </w:pPr>
      <w:r>
        <w:t xml:space="preserve">Share (where ethics allow) a minimal simulated dataset with the same schema as the real features, for pipeline testing only.</w:t>
      </w:r>
    </w:p>
    <w:p>
      <w:pPr>
        <w:numPr>
          <w:ilvl w:val="0"/>
          <w:numId w:val="1013"/>
        </w:numPr>
        <w:pStyle w:val="Compact"/>
      </w:pPr>
      <w:r>
        <w:t xml:space="preserve">Publish a reference Dockerfile/Apptainer recipe pinning FreeSurfer 6.0 and analysis library versions.</w:t>
      </w:r>
    </w:p>
    <w:p>
      <w:pPr>
        <w:numPr>
          <w:ilvl w:val="0"/>
          <w:numId w:val="1013"/>
        </w:numPr>
        <w:pStyle w:val="Compact"/>
      </w:pPr>
      <w:r>
        <w:t xml:space="preserve">Pre-register subtype stability analyses when applying the model to an external cohort.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references-selected"/>
      <w:r>
        <w:t xml:space="preserve">References (selected)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Jiang et al. 2024 Nat Commun — primary TLE biotype paper (DOI above).</w:t>
      </w:r>
    </w:p>
    <w:p>
      <w:pPr>
        <w:numPr>
          <w:ilvl w:val="0"/>
          <w:numId w:val="1014"/>
        </w:numPr>
        <w:pStyle w:val="Compact"/>
      </w:pPr>
      <w:r>
        <w:t xml:space="preserve">Young et al. 2018 Nat Commun — SuStaIn methods foundation.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JIANG_2024_REPLICATION.md</w:t>
      </w:r>
      <w:r>
        <w:t xml:space="preserve"> </w:t>
      </w:r>
      <w:r>
        <w:t xml:space="preserve">— replication kit notes and commands.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refresh</w:t>
      </w:r>
      <w:r>
        <w:t xml:space="preserve"> </w:t>
      </w:r>
      <w:r>
        <w:rPr>
          <w:rStyle w:val="VerbatimChar"/>
          <w:b/>
        </w:rPr>
        <w:t xml:space="preserve">sustain_br.docx</w:t>
      </w:r>
      <w:r>
        <w:t xml:space="preserve"> </w:t>
      </w:r>
      <w:r>
        <w:t xml:space="preserve">locally after edits:</w:t>
      </w:r>
      <w:r>
        <w:t xml:space="preserve"> </w:t>
      </w:r>
      <w:r>
        <w:rPr>
          <w:rStyle w:val="VerbatimChar"/>
        </w:rPr>
        <w:t xml:space="preserve">python3 scripts/render_sustain_br_docx.py</w:t>
      </w:r>
      <w:r>
        <w:t xml:space="preserve"> </w:t>
      </w:r>
      <w:r>
        <w:t xml:space="preserve">(from the</w:t>
      </w:r>
      <w:r>
        <w:t xml:space="preserve"> </w:t>
      </w:r>
      <w:hyperlink r:id="rId35">
        <w:r>
          <w:rPr>
            <w:rStyle w:val="Hyperlink"/>
          </w:rPr>
          <w:t xml:space="preserve">predict_epi</w:t>
        </w:r>
      </w:hyperlink>
      <w:r>
        <w:t xml:space="preserve"> </w:t>
      </w:r>
      <w:r>
        <w:t xml:space="preserve">repo root). Word copies are not tracked on GitHub.</w:t>
      </w:r>
    </w:p>
    <w:p>
      <w:pPr>
        <w:pStyle w:val="BodyText"/>
      </w:pPr>
      <w:r>
        <w:rPr>
          <w:i/>
        </w:rPr>
        <w:t xml:space="preserve">Last updated: 2026-04-14.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github.com/phindagijimana/predict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github.com/phindagijimana/predict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2026-04-24T02:33:26Z</dcterms:created>
  <dcterms:modified xsi:type="dcterms:W3CDTF">2026-04-24T02:33:26Z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