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ad4fd28767987b77048cb42fc49570baa34cb26"/>
      <w:r>
        <w:t xml:space="preserve">Builder Review —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KDE EBM in MTLE-HS (Lopez et al. 2022)</w:t>
      </w:r>
      <w:bookmarkEnd w:id="20"/>
    </w:p>
    <w:p>
      <w:pPr>
        <w:pStyle w:val="FirstParagraph"/>
      </w:pPr>
      <w:r>
        <w:t xml:space="preserve">This document is a</w:t>
      </w:r>
      <w:r>
        <w:t xml:space="preserve"> </w:t>
      </w:r>
      <w:r>
        <w:rPr>
          <w:b/>
        </w:rPr>
        <w:t xml:space="preserve">Builder Review of the research paper</w:t>
      </w:r>
      <w:r>
        <w:t xml:space="preserve"> </w:t>
      </w:r>
      <w:r>
        <w:t xml:space="preserve">below—its design, evidence, and what a builder should expect when engaging with the same methods. A</w:t>
      </w:r>
      <w:r>
        <w:t xml:space="preserve"> </w:t>
      </w:r>
      <w:r>
        <w:rPr>
          <w:b/>
        </w:rPr>
        <w:t xml:space="preserve">local deployment</w:t>
      </w:r>
      <w:r>
        <w:t xml:space="preserve"> </w:t>
      </w:r>
      <w:r>
        <w:t xml:space="preserve">in this repository (</w:t>
      </w:r>
      <w:r>
        <w:rPr>
          <w:rStyle w:val="VerbatimChar"/>
        </w:rPr>
        <w:t xml:space="preserve">EBM_TLE/</w:t>
      </w:r>
      <w:r>
        <w:t xml:space="preserve">,</w:t>
      </w:r>
      <w:r>
        <w:t xml:space="preserve"> </w:t>
      </w:r>
      <w:r>
        <w:rPr>
          <w:rStyle w:val="VerbatimChar"/>
        </w:rPr>
        <w:t xml:space="preserve">./ebm</w:t>
      </w:r>
      <w:r>
        <w:t xml:space="preserve"> </w:t>
      </w:r>
      <w:r>
        <w:t xml:space="preserve">CLI,</w:t>
      </w:r>
      <w:r>
        <w:t xml:space="preserve"> </w:t>
      </w:r>
      <w:r>
        <w:rPr>
          <w:rStyle w:val="VerbatimChar"/>
        </w:rPr>
        <w:t xml:space="preserve">src/ebm_tle/</w:t>
      </w:r>
      <w:r>
        <w:t xml:space="preserve">) is used to</w:t>
      </w:r>
      <w:r>
        <w:t xml:space="preserve"> </w:t>
      </w:r>
      <w:r>
        <w:rPr>
          <w:b/>
        </w:rPr>
        <w:t xml:space="preserve">ground</w:t>
      </w:r>
      <w:r>
        <w:t xml:space="preserve"> </w:t>
      </w:r>
      <w:r>
        <w:t xml:space="preserve">notes on reproducibility, runtime, and integration. That stack</w:t>
      </w:r>
      <w:r>
        <w:t xml:space="preserve"> </w:t>
      </w:r>
      <w:r>
        <w:rPr>
          <w:b/>
        </w:rPr>
        <w:t xml:space="preserve">helps us write the review</w:t>
      </w:r>
      <w:r>
        <w:t xml:space="preserve">; it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what is being</w:t>
      </w:r>
      <w:r>
        <w:t xml:space="preserve"> </w:t>
      </w:r>
      <w:r>
        <w:t xml:space="preserve">“</w:t>
      </w:r>
      <w:r>
        <w:t xml:space="preserve">reviewed</w:t>
      </w:r>
      <w:r>
        <w:t xml:space="preserve">”</w:t>
      </w:r>
      <w:r>
        <w:t xml:space="preserve"> </w:t>
      </w:r>
      <w:r>
        <w:t xml:space="preserve">in the product sense. The write-up uses the</w:t>
      </w:r>
      <w:r>
        <w:t xml:space="preserve"> </w:t>
      </w:r>
      <w:r>
        <w:rPr>
          <w:b/>
        </w:rPr>
        <w:t xml:space="preserve">Inzira Labs Builder Review</w:t>
      </w:r>
      <w:r>
        <w:t xml:space="preserve"> </w:t>
      </w:r>
      <w:r>
        <w:t xml:space="preserve">style (e.g. usability, reproducibility, performance, generalization, clinical use, interpretability, integration, limitations, builder-oriented conclusions). Optional full-criteria</w:t>
      </w:r>
      <w:r>
        <w:t xml:space="preserve"> </w:t>
      </w:r>
      <w:r>
        <w:rPr>
          <w:b/>
        </w:rPr>
        <w:t xml:space="preserve">Word</w:t>
      </w:r>
      <w:r>
        <w:t xml:space="preserve"> </w:t>
      </w:r>
      <w:r>
        <w:t xml:space="preserve">templates, if you use them, can stay local; this file ships in-repo with</w:t>
      </w:r>
      <w:r>
        <w:t xml:space="preserve"> </w:t>
      </w:r>
      <w:hyperlink r:id="rId21">
        <w:r>
          <w:rPr>
            <w:rStyle w:val="Hyperlink"/>
          </w:rPr>
          <w:t xml:space="preserve">USER_GUIDE.md</w:t>
        </w:r>
      </w:hyperlink>
      <w:r>
        <w:t xml:space="preserve">.</w:t>
      </w:r>
    </w:p>
    <w:p>
      <w:pPr>
        <w:pStyle w:val="BlockText"/>
      </w:pPr>
      <w:r>
        <w:rPr>
          <w:b/>
        </w:rPr>
        <w:t xml:space="preserve">Object of the review: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publication</w:t>
      </w:r>
      <w:r>
        <w:t xml:space="preserve"> </w:t>
      </w:r>
      <w:r>
        <w:t xml:space="preserve">(Lopez et al. 2022).</w:t>
      </w:r>
      <w:r>
        <w:t xml:space="preserve"> </w:t>
      </w:r>
      <w:r>
        <w:rPr>
          <w:b/>
        </w:rPr>
        <w:t xml:space="preserve">Supporting material:</w:t>
      </w:r>
      <w:r>
        <w:t xml:space="preserve"> </w:t>
      </w:r>
      <w:r>
        <w:t xml:space="preserve">how we</w:t>
      </w:r>
      <w:r>
        <w:t xml:space="preserve"> </w:t>
      </w:r>
      <w:r>
        <w:rPr>
          <w:b/>
        </w:rPr>
        <w:t xml:space="preserve">instantiated the paper’s implied stack</w:t>
      </w:r>
      <w:r>
        <w:t xml:space="preserve"> </w:t>
      </w:r>
      <w:r>
        <w:t xml:space="preserve">in a small, internal shell—narrated only to clarify the paper, not to score a product.</w:t>
      </w:r>
    </w:p>
    <w:p>
      <w:pPr>
        <w:pStyle w:val="FirstParagraph"/>
      </w:pPr>
      <w:r>
        <w:rPr>
          <w:b/>
        </w:rPr>
        <w:t xml:space="preserve">Primary reference:</w:t>
      </w:r>
      <w:r>
        <w:t xml:space="preserve"> </w:t>
      </w:r>
      <w:r>
        <w:t xml:space="preserve">Lopez SM, Aksman LM, Oxtoby NP, et al. </w:t>
      </w:r>
      <w:r>
        <w:rPr>
          <w:i/>
        </w:rPr>
        <w:t xml:space="preserve">Event-based modeling in temporal lobe epilepsy demonstrates progressive atrophy from cross-sectional data.</w:t>
      </w:r>
      <w:r>
        <w:t xml:space="preserve"> </w:t>
      </w:r>
      <w:r>
        <w:t xml:space="preserve">Epilepsia. 2022;63(8):2081–2095.</w:t>
      </w:r>
      <w:r>
        <w:t xml:space="preserve"> </w:t>
      </w:r>
      <w:hyperlink r:id="rId22">
        <w:r>
          <w:rPr>
            <w:rStyle w:val="Hyperlink"/>
          </w:rPr>
          <w:t xml:space="preserve">https://doi.org/10.1111/epi.17316</w:t>
        </w:r>
      </w:hyperlink>
      <w:r>
        <w:t xml:space="preserve"> </w:t>
      </w:r>
      <w:r>
        <w:t xml:space="preserve">(PMC:</w:t>
      </w:r>
      <w:r>
        <w:t xml:space="preserve"> </w:t>
      </w:r>
      <w:hyperlink r:id="rId23">
        <w:r>
          <w:rPr>
            <w:rStyle w:val="Hyperlink"/>
          </w:rPr>
          <w:t xml:space="preserve">https://pmc.ncbi.nlm.nih.gov/articles/PMC9540015/</w:t>
        </w:r>
      </w:hyperlink>
      <w:r>
        <w:t xml:space="preserve">)</w:t>
      </w:r>
    </w:p>
    <w:p>
      <w:pPr>
        <w:pStyle w:val="BodyText"/>
      </w:pPr>
      <w:r>
        <w:rPr>
          <w:b/>
        </w:rPr>
        <w:t xml:space="preserve">Related in-repo file:</w:t>
      </w:r>
      <w:r>
        <w:t xml:space="preserve"> </w:t>
      </w:r>
      <w:hyperlink r:id="rId24">
        <w:r>
          <w:rPr>
            <w:rStyle w:val="Hyperlink"/>
          </w:rPr>
          <w:t xml:space="preserve">EBM_TLE.md</w:t>
        </w:r>
      </w:hyperlink>
      <w:r>
        <w:t xml:space="preserve"> </w:t>
      </w:r>
      <w:r>
        <w:t xml:space="preserve">— short paper summary.</w:t>
      </w:r>
      <w:r>
        <w:t xml:space="preserve"> </w:t>
      </w:r>
      <w:r>
        <w:rPr>
          <w:b/>
        </w:rPr>
        <w:t xml:space="preserve">Typical layout of the grounding code:</w:t>
      </w:r>
      <w:r>
        <w:t xml:space="preserve"> </w:t>
      </w:r>
      <w:r>
        <w:rPr>
          <w:rStyle w:val="VerbatimChar"/>
        </w:rPr>
        <w:t xml:space="preserve">EBM_TLE/</w:t>
      </w:r>
      <w:r>
        <w:t xml:space="preserve"> </w:t>
      </w:r>
      <w:r>
        <w:t xml:space="preserve">(CLI,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);</w:t>
      </w:r>
      <w:r>
        <w:t xml:space="preserve"> </w:t>
      </w:r>
      <w:r>
        <w:rPr>
          <w:rStyle w:val="VerbatimChar"/>
        </w:rPr>
        <w:t xml:space="preserve">pySuStaIn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kde_ebm</w:t>
      </w:r>
      <w:r>
        <w:t xml:space="preserve"> </w:t>
      </w:r>
      <w:r>
        <w:t xml:space="preserve">from GitHub; optional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,</w:t>
      </w:r>
      <w:r>
        <w:t xml:space="preserve"> </w:t>
      </w:r>
      <w:r>
        <w:rPr>
          <w:rStyle w:val="VerbatimChar"/>
        </w:rPr>
        <w:t xml:space="preserve">.ebm/logs/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context-what-the-paper-does"/>
      <w:r>
        <w:t xml:space="preserve">Context: what the paper does</w:t>
      </w:r>
      <w:bookmarkEnd w:id="25"/>
    </w:p>
    <w:p>
      <w:pPr>
        <w:pStyle w:val="FirstParagraph"/>
      </w:pPr>
      <w:r>
        <w:t xml:space="preserve">Lopez et al. use</w:t>
      </w:r>
      <w:r>
        <w:t xml:space="preserve"> </w:t>
      </w:r>
      <w:r>
        <w:rPr>
          <w:b/>
        </w:rPr>
        <w:t xml:space="preserve">cross-sectional</w:t>
      </w:r>
      <w:r>
        <w:t xml:space="preserve"> </w:t>
      </w:r>
      <w:r>
        <w:t xml:space="preserve">T1 morphometry from</w:t>
      </w:r>
      <w:r>
        <w:t xml:space="preserve"> </w:t>
      </w:r>
      <w:r>
        <w:rPr>
          <w:b/>
        </w:rPr>
        <w:t xml:space="preserve">ENIGMA-Epilepsy</w:t>
      </w:r>
      <w:r>
        <w:t xml:space="preserve"> </w:t>
      </w:r>
      <w:r>
        <w:t xml:space="preserve">to infer a</w:t>
      </w:r>
      <w:r>
        <w:t xml:space="preserve"> </w:t>
      </w:r>
      <w:r>
        <w:rPr>
          <w:b/>
        </w:rPr>
        <w:t xml:space="preserve">KDE event-based model (EBM)</w:t>
      </w:r>
      <w:r>
        <w:t xml:space="preserve"> </w:t>
      </w:r>
      <w:r>
        <w:t xml:space="preserve">sequence (hippocampus → neocortex → thalamus → ventricle) and per-subject</w:t>
      </w:r>
      <w:r>
        <w:t xml:space="preserve"> </w:t>
      </w:r>
      <w:r>
        <w:rPr>
          <w:b/>
        </w:rPr>
        <w:t xml:space="preserve">stages</w:t>
      </w:r>
      <w:r>
        <w:t xml:space="preserve">, with clinical associations strongest for</w:t>
      </w:r>
      <w:r>
        <w:t xml:space="preserve"> </w:t>
      </w:r>
      <w:r>
        <w:rPr>
          <w:b/>
        </w:rPr>
        <w:t xml:space="preserve">Stage 0 vs non-0</w:t>
      </w:r>
      <w:r>
        <w:t xml:space="preserve"> </w:t>
      </w:r>
      <w:r>
        <w:t xml:space="preserve">on T1. The statistical stack is in the</w:t>
      </w:r>
      <w:r>
        <w:t xml:space="preserve"> </w:t>
      </w:r>
      <w:r>
        <w:rPr>
          <w:b/>
        </w:rPr>
        <w:t xml:space="preserve">UCL POND</w:t>
      </w:r>
      <w:r>
        <w:t xml:space="preserve"> </w:t>
      </w:r>
      <w:r>
        <w:t xml:space="preserve">lineage:</w:t>
      </w:r>
      <w:r>
        <w:t xml:space="preserve"> </w:t>
      </w:r>
      <w:r>
        <w:rPr>
          <w:rStyle w:val="VerbatimChar"/>
          <w:b/>
        </w:rPr>
        <w:t xml:space="preserve">kde_ebm</w:t>
      </w:r>
      <w:r>
        <w:t xml:space="preserve"> </w:t>
      </w:r>
      <w:r>
        <w:t xml:space="preserve">(mixtures) +</w:t>
      </w:r>
      <w:r>
        <w:t xml:space="preserve"> </w:t>
      </w:r>
      <w:r>
        <w:rPr>
          <w:rStyle w:val="VerbatimChar"/>
          <w:b/>
        </w:rPr>
        <w:t xml:space="preserve">MixtureSustain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pySuStaIn</w:t>
      </w:r>
      <w:r>
        <w:t xml:space="preserve">—overlapping authorship with the tooling.</w:t>
      </w:r>
    </w:p>
    <w:p>
      <w:pPr>
        <w:pStyle w:val="BodyText"/>
      </w:pPr>
      <w:r>
        <w:rPr>
          <w:b/>
        </w:rPr>
        <w:t xml:space="preserve">Builder read:</w:t>
      </w:r>
      <w:r>
        <w:t xml:space="preserve"> </w:t>
      </w:r>
      <w:r>
        <w:t xml:space="preserve">the contribution is a clear</w:t>
      </w:r>
      <w:r>
        <w:t xml:space="preserve"> </w:t>
      </w:r>
      <w:r>
        <w:rPr>
          <w:b/>
        </w:rPr>
        <w:t xml:space="preserve">disease–progression</w:t>
      </w:r>
      <w:r>
        <w:t xml:space="preserve"> </w:t>
      </w:r>
      <w:r>
        <w:t xml:space="preserve">story and staging narrative from</w:t>
      </w:r>
      <w:r>
        <w:t xml:space="preserve"> </w:t>
      </w:r>
      <w:r>
        <w:rPr>
          <w:b/>
        </w:rPr>
        <w:t xml:space="preserve">cross-sectional</w:t>
      </w:r>
      <w:r>
        <w:t xml:space="preserve"> </w:t>
      </w:r>
      <w:r>
        <w:t xml:space="preserve">structure, with uncertainty handled as in the publication—not a generic</w:t>
      </w:r>
      <w:r>
        <w:t xml:space="preserve"> </w:t>
      </w:r>
      <w:r>
        <w:t xml:space="preserve">“</w:t>
      </w:r>
      <w:r>
        <w:t xml:space="preserve">tool release.</w:t>
      </w:r>
      <w:r>
        <w:t xml:space="preserve">”</w:t>
      </w:r>
    </w:p>
    <w:p>
      <w:pPr>
        <w:pStyle w:val="BodyText"/>
      </w:pPr>
      <w:r>
        <w:rPr>
          <w:b/>
        </w:rPr>
        <w:t xml:space="preserve">Grounding (not a second review object):</w:t>
      </w:r>
      <w:r>
        <w:t xml:space="preserve"> </w:t>
      </w:r>
      <w:r>
        <w:t xml:space="preserve">we use a small</w:t>
      </w:r>
      <w:r>
        <w:t xml:space="preserve"> </w:t>
      </w:r>
      <w:r>
        <w:rPr>
          <w:b/>
        </w:rPr>
        <w:t xml:space="preserve">deployment shell</w:t>
      </w:r>
      <w:r>
        <w:t xml:space="preserve"> </w:t>
      </w:r>
      <w:r>
        <w:t xml:space="preserve">here—venv +</w:t>
      </w:r>
      <w:r>
        <w:t xml:space="preserve"> </w:t>
      </w:r>
      <w:r>
        <w:rPr>
          <w:rStyle w:val="VerbatimChar"/>
          <w:b/>
        </w:rPr>
        <w:t xml:space="preserve">./ebm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) and thin wrappers—to touch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t xml:space="preserve">open stack the paper’s methods point to, not to reproduce ENIGMA extraction or the paper’s full mega-analysis. The next table is</w:t>
      </w:r>
      <w:r>
        <w:t xml:space="preserve"> </w:t>
      </w:r>
      <w:r>
        <w:rPr>
          <w:b/>
        </w:rPr>
        <w:t xml:space="preserve">only</w:t>
      </w:r>
      <w:r>
        <w:t xml:space="preserve"> </w:t>
      </w:r>
      <w:r>
        <w:t xml:space="preserve">“</w:t>
      </w:r>
      <w:r>
        <w:t xml:space="preserve">where the bits live</w:t>
      </w:r>
      <w:r>
        <w:t xml:space="preserve">”</w:t>
      </w:r>
      <w:r>
        <w:t xml:space="preserve"> </w:t>
      </w:r>
      <w:r>
        <w:t xml:space="preserve">when a reader wants to line up the paper with a concrete tree.</w:t>
      </w:r>
    </w:p>
    <w:tbl>
      <w:tblPr>
        <w:tblStyle w:val="Table"/>
        <w:tblW w:type="pct" w:w="5000.0"/>
        <w:tblLook w:firstRow="1"/>
      </w:tblPr>
      <w:tblGrid>
        <w:gridCol w:w="2534"/>
        <w:gridCol w:w="3484"/>
        <w:gridCol w:w="19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 (grounding)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 driver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./ebm</w:t>
            </w:r>
          </w:p>
        </w:tc>
        <w:tc>
          <w:p>
            <w:pPr>
              <w:pStyle w:val="Compact"/>
              <w:jc w:val="left"/>
            </w:pPr>
            <w:r>
              <w:t xml:space="preserve">Bash: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; other commands call</w:t>
            </w:r>
            <w:r>
              <w:t xml:space="preserve"> </w:t>
            </w:r>
            <w:r>
              <w:rPr>
                <w:rStyle w:val="VerbatimChar"/>
              </w:rPr>
              <w:t xml:space="preserve">python -m ebm_tle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package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src/ebm_tle/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, lifecycle;</w:t>
            </w:r>
            <w:r>
              <w:t xml:space="preserve"> </w:t>
            </w:r>
            <w:r>
              <w:rPr>
                <w:rStyle w:val="VerbatimChar"/>
              </w:rPr>
              <w:t xml:space="preserve">synthetic.py</w:t>
            </w:r>
            <w:r>
              <w:t xml:space="preserve"> </w:t>
            </w:r>
            <w:r>
              <w:t xml:space="preserve">works around vendored</w:t>
            </w:r>
            <w:r>
              <w:t xml:space="preserve"> </w:t>
            </w:r>
            <w:r>
              <w:rPr>
                <w:rStyle w:val="VerbatimChar"/>
              </w:rPr>
              <w:t xml:space="preserve">sim</w:t>
            </w:r>
            <w:r>
              <w:t xml:space="preserve"> </w:t>
            </w:r>
            <w:r>
              <w:t xml:space="preserve">import issues in upstream pySuStaIn.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pySuStaIn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kde_ebm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(git installs), matching the paper’s tooling lineage.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Dependencies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kde_ebm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awkde</w:t>
            </w:r>
            <w:r>
              <w:t xml:space="preserve">, numpy/scipy/sklearn, etc.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 state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.ebm/run/pid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.ebm/logs/fit.log</w:t>
            </w:r>
          </w:p>
        </w:tc>
        <w:tc>
          <w:p>
            <w:pPr>
              <w:pStyle w:val="Compact"/>
              <w:jc w:val="left"/>
            </w:pPr>
            <w:r>
              <w:t xml:space="preserve">Background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logs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853d7df8c998e30d9f72a6c10922dc9b7e6b824"/>
      <w:r>
        <w:t xml:space="preserve">Platform fit and reproducibility (paper first)</w:t>
      </w:r>
      <w:bookmarkEnd w:id="28"/>
    </w:p>
    <w:p>
      <w:pPr>
        <w:pStyle w:val="Heading3"/>
      </w:pPr>
      <w:bookmarkStart w:id="29" w:name="what-the-paper-offers"/>
      <w:r>
        <w:t xml:space="preserve">What the</w:t>
      </w:r>
      <w:r>
        <w:t xml:space="preserve"> </w:t>
      </w:r>
      <w:r>
        <w:rPr>
          <w:i/>
        </w:rPr>
        <w:t xml:space="preserve">paper</w:t>
      </w:r>
      <w:r>
        <w:t xml:space="preserve"> </w:t>
      </w:r>
      <w:r>
        <w:t xml:space="preserve">offers</w:t>
      </w:r>
      <w:bookmarkEnd w:id="29"/>
    </w:p>
    <w:p>
      <w:pPr>
        <w:pStyle w:val="FirstParagraph"/>
      </w:pPr>
      <w:r>
        <w:rPr>
          <w:b/>
        </w:rPr>
        <w:t xml:space="preserve">Published study design and claims</w:t>
      </w:r>
    </w:p>
    <w:p>
      <w:pPr>
        <w:numPr>
          <w:ilvl w:val="0"/>
          <w:numId w:val="1001"/>
        </w:numPr>
        <w:pStyle w:val="Compact"/>
      </w:pPr>
      <w:r>
        <w:t xml:space="preserve">Large multi-site case–control cohort; feature screen (e.g. |Cohen’s</w:t>
      </w:r>
      <w:r>
        <w:t xml:space="preserve"> </w:t>
      </w:r>
      <w:r>
        <w:rPr>
          <w:i/>
        </w:rPr>
        <w:t xml:space="preserve">d</w:t>
      </w:r>
      <w:r>
        <w:t xml:space="preserve">| ≥ 0.5); KDE mixtures + MCMC ordering + bootstrap narrative; staging 0…</w:t>
      </w:r>
      <w:r>
        <w:rPr>
          <w:i/>
        </w:rPr>
        <w:t xml:space="preserve">k</w:t>
      </w:r>
      <w:r>
        <w:t xml:space="preserve">.</w:t>
      </w:r>
    </w:p>
    <w:p>
      <w:pPr>
        <w:pStyle w:val="FirstParagraph"/>
      </w:pPr>
      <w:r>
        <w:rPr>
          <w:b/>
        </w:rPr>
        <w:t xml:space="preserve">What a builder can expect when mirroring the</w:t>
      </w:r>
      <w:r>
        <w:rPr>
          <w:b/>
        </w:rPr>
        <w:t xml:space="preserve"> </w:t>
      </w:r>
      <w:r>
        <w:rPr>
          <w:i/>
          <w:b/>
        </w:rPr>
        <w:t xml:space="preserve">methods</w:t>
      </w:r>
      <w:r>
        <w:rPr>
          <w:b/>
        </w:rPr>
        <w:t xml:space="preserve"> </w:t>
      </w:r>
      <w:r>
        <w:rPr>
          <w:b/>
        </w:rPr>
        <w:t xml:space="preserve">in code</w:t>
      </w:r>
      <w:r>
        <w:t xml:space="preserve"> </w:t>
      </w:r>
      <w:r>
        <w:rPr>
          <w:i/>
        </w:rPr>
        <w:t xml:space="preserve">(illustrative, from our grounding shell; not a product review)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Accessible surface: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./ebm install</w:t>
      </w:r>
      <w:r>
        <w:t xml:space="preserve">, the paper-relevant path can be probed with</w:t>
      </w:r>
      <w:r>
        <w:t xml:space="preserve"> </w:t>
      </w:r>
      <w:r>
        <w:rPr>
          <w:rStyle w:val="VerbatimChar"/>
        </w:rPr>
        <w:t xml:space="preserve">./ebm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./ebm demo</w:t>
      </w:r>
      <w:r>
        <w:t xml:space="preserve"> </w:t>
      </w:r>
      <w:r>
        <w:t xml:space="preserve">(synthetic sanity),</w:t>
      </w:r>
      <w:r>
        <w:t xml:space="preserve"> </w:t>
      </w:r>
      <w:r>
        <w:rPr>
          <w:rStyle w:val="VerbatimChar"/>
        </w:rPr>
        <w:t xml:space="preserve">./ebm fit cohort.csv</w:t>
      </w:r>
      <w:r>
        <w:t xml:space="preserve"> </w:t>
      </w:r>
      <w:r>
        <w:t xml:space="preserve">(your table), and lifecycle helpers. That informs</w:t>
      </w:r>
      <w:r>
        <w:t xml:space="preserve"> </w:t>
      </w:r>
      <w:r>
        <w:rPr>
          <w:b/>
        </w:rPr>
        <w:t xml:space="preserve">reproducibility and operability of the</w:t>
      </w:r>
      <w:r>
        <w:rPr>
          <w:b/>
        </w:rPr>
        <w:t xml:space="preserve"> </w:t>
      </w:r>
      <w:r>
        <w:rPr>
          <w:i/>
          <w:b/>
        </w:rPr>
        <w:t xml:space="preserve">methods story</w:t>
      </w:r>
      <w:r>
        <w:t xml:space="preserve">, not a rating of the wrapper as software.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Cost / friction the paper implies in practice:</w:t>
      </w:r>
      <w:r>
        <w:t xml:space="preserve"> </w:t>
      </w:r>
      <w:r>
        <w:t xml:space="preserve">first install reaches</w:t>
      </w:r>
      <w:r>
        <w:t xml:space="preserve"> </w:t>
      </w:r>
      <w:r>
        <w:rPr>
          <w:rStyle w:val="VerbatimChar"/>
          <w:b/>
        </w:rPr>
        <w:t xml:space="preserve">kde_ebm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</w:rPr>
        <w:t xml:space="preserve">awkde</w:t>
      </w:r>
      <w:r>
        <w:t xml:space="preserve">;</w:t>
      </w:r>
      <w:r>
        <w:t xml:space="preserve"> </w:t>
      </w:r>
      <w:r>
        <w:rPr>
          <w:b/>
        </w:rPr>
        <w:t xml:space="preserve">MCMC</w:t>
      </w:r>
      <w:r>
        <w:t xml:space="preserve"> </w:t>
      </w:r>
      <w:r>
        <w:t xml:space="preserve">cost scales with</w:t>
      </w:r>
      <w:r>
        <w:t xml:space="preserve"> </w:t>
      </w:r>
      <w:r>
        <w:rPr>
          <w:rStyle w:val="VerbatimChar"/>
        </w:rPr>
        <w:t xml:space="preserve">--mcmc</w:t>
      </w:r>
      <w:r>
        <w:t xml:space="preserve"> </w:t>
      </w:r>
      <w:r>
        <w:t xml:space="preserve">and pySuStaIn’s phases—i.e. the</w:t>
      </w:r>
      <w:r>
        <w:t xml:space="preserve"> </w:t>
      </w:r>
      <w:r>
        <w:rPr>
          <w:i/>
        </w:rPr>
        <w:t xml:space="preserve">paper</w:t>
      </w:r>
      <w:r>
        <w:t xml:space="preserve">’s analysis family is</w:t>
      </w:r>
      <w:r>
        <w:t xml:space="preserve"> </w:t>
      </w:r>
      <w:r>
        <w:rPr>
          <w:b/>
        </w:rPr>
        <w:t xml:space="preserve">compute-heavy</w:t>
      </w:r>
      <w:r>
        <w:t xml:space="preserve"> </w:t>
      </w:r>
      <w:r>
        <w:t xml:space="preserve">relative to a single GLM.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Data path the paper still assumes (not replaced here):</w:t>
      </w:r>
      <w:r>
        <w:t xml:space="preserve"> </w:t>
      </w:r>
      <w:r>
        <w:t xml:space="preserve">Lopez-style work needs</w:t>
      </w:r>
      <w:r>
        <w:t xml:space="preserve"> </w:t>
      </w:r>
      <w:r>
        <w:rPr>
          <w:b/>
        </w:rPr>
        <w:t xml:space="preserve">ENIGMA-compatible</w:t>
      </w:r>
      <w:r>
        <w:t xml:space="preserve"> </w:t>
      </w:r>
      <w:r>
        <w:t xml:space="preserve">regional features (e.g. FreeSurfer) merged to CSV; that</w:t>
      </w:r>
      <w:r>
        <w:t xml:space="preserve"> </w:t>
      </w:r>
      <w:r>
        <w:rPr>
          <w:b/>
        </w:rPr>
        <w:t xml:space="preserve">feature engineering</w:t>
      </w:r>
      <w:r>
        <w:t xml:space="preserve"> </w:t>
      </w:r>
      <w:r>
        <w:t xml:space="preserve">is where real studies spend effort—the publication’s limits apply, not a limitation</w:t>
      </w:r>
      <w:r>
        <w:t xml:space="preserve"> </w:t>
      </w:r>
      <w:r>
        <w:t xml:space="preserve">“</w:t>
      </w:r>
      <w:r>
        <w:t xml:space="preserve">of the review.</w:t>
      </w:r>
      <w:r>
        <w:t xml:space="preserve">”</w:t>
      </w:r>
    </w:p>
    <w:p>
      <w:pPr>
        <w:pStyle w:val="Heading3"/>
      </w:pPr>
      <w:bookmarkStart w:id="30" w:name="reproducibility"/>
      <w:r>
        <w:t xml:space="preserve">Reproducibility</w:t>
      </w:r>
      <w:bookmarkEnd w:id="30"/>
    </w:p>
    <w:p>
      <w:pPr>
        <w:pStyle w:val="FirstParagraph"/>
      </w:pPr>
      <w:r>
        <w:rPr>
          <w:b/>
        </w:rPr>
        <w:t xml:space="preserve">What the paper</w:t>
      </w:r>
      <w:r>
        <w:rPr>
          <w:b/>
        </w:rPr>
        <w:t xml:space="preserve"> </w:t>
      </w:r>
      <w:r>
        <w:rPr>
          <w:i/>
          <w:b/>
        </w:rPr>
        <w:t xml:space="preserve">supports</w:t>
      </w:r>
      <w:r>
        <w:rPr>
          <w:b/>
        </w:rPr>
        <w:t xml:space="preserve"> </w:t>
      </w:r>
      <w:r>
        <w:rPr>
          <w:b/>
        </w:rPr>
        <w:t xml:space="preserve">for replication</w:t>
      </w:r>
    </w:p>
    <w:p>
      <w:pPr>
        <w:numPr>
          <w:ilvl w:val="0"/>
          <w:numId w:val="1003"/>
        </w:numPr>
        <w:pStyle w:val="Compact"/>
      </w:pPr>
      <w:r>
        <w:t xml:space="preserve">Fixed methodological account (KDE EBM, ENIGMA features, bootstrap treatment as published).</w:t>
      </w:r>
    </w:p>
    <w:p>
      <w:pPr>
        <w:pStyle w:val="FirstParagraph"/>
      </w:pPr>
      <w:r>
        <w:rPr>
          <w:b/>
        </w:rPr>
        <w:t xml:space="preserve">What the paper does</w:t>
      </w:r>
      <w:r>
        <w:rPr>
          <w:b/>
        </w:rPr>
        <w:t xml:space="preserve"> </w:t>
      </w:r>
      <w:r>
        <w:rPr>
          <w:i/>
          <w:b/>
        </w:rPr>
        <w:t xml:space="preserve">not</w:t>
      </w:r>
      <w:r>
        <w:rPr>
          <w:b/>
        </w:rPr>
        <w:t xml:space="preserve"> </w:t>
      </w:r>
      <w:r>
        <w:rPr>
          <w:b/>
        </w:rPr>
        <w:t xml:space="preserve">ship to an external team</w:t>
      </w:r>
    </w:p>
    <w:p>
      <w:pPr>
        <w:numPr>
          <w:ilvl w:val="0"/>
          <w:numId w:val="1004"/>
        </w:numPr>
        <w:pStyle w:val="Compact"/>
      </w:pPr>
      <w:r>
        <w:t xml:space="preserve">No bundled</w:t>
      </w:r>
      <w:r>
        <w:t xml:space="preserve"> </w:t>
      </w:r>
      <w:r>
        <w:rPr>
          <w:b/>
        </w:rPr>
        <w:t xml:space="preserve">pretrained</w:t>
      </w:r>
      <w:r>
        <w:t xml:space="preserve"> </w:t>
      </w:r>
      <w:r>
        <w:t xml:space="preserve">artifact in the public record as a turnkey drop-in; retraining on your table/cohort or author-shared assets is expected.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Figure-level</w:t>
      </w:r>
      <w:r>
        <w:t xml:space="preserve"> </w:t>
      </w:r>
      <w:r>
        <w:t xml:space="preserve">match to the original paper needs</w:t>
      </w:r>
      <w:r>
        <w:t xml:space="preserve"> </w:t>
      </w:r>
      <w:r>
        <w:rPr>
          <w:b/>
        </w:rPr>
        <w:t xml:space="preserve">ENIGMA-Epilepsy</w:t>
      </w:r>
      <w:r>
        <w:t xml:space="preserve"> </w:t>
      </w:r>
      <w:r>
        <w:t xml:space="preserve">data access and their pipelines.</w:t>
      </w:r>
    </w:p>
    <w:p>
      <w:pPr>
        <w:pStyle w:val="FirstParagraph"/>
      </w:pPr>
      <w:r>
        <w:rPr>
          <w:b/>
        </w:rPr>
        <w:t xml:space="preserve">Builder observation when wiring the</w:t>
      </w:r>
      <w:r>
        <w:rPr>
          <w:b/>
        </w:rPr>
        <w:t xml:space="preserve"> </w:t>
      </w:r>
      <w:r>
        <w:rPr>
          <w:i/>
          <w:b/>
        </w:rPr>
        <w:t xml:space="preserve">same stack</w:t>
      </w:r>
      <w:r>
        <w:rPr>
          <w:b/>
        </w:rPr>
        <w:t xml:space="preserve"> </w:t>
      </w:r>
      <w:r>
        <w:rPr>
          <w:b/>
        </w:rPr>
        <w:t xml:space="preserve">the paper presupposes</w:t>
      </w:r>
    </w:p>
    <w:p>
      <w:pPr>
        <w:numPr>
          <w:ilvl w:val="0"/>
          <w:numId w:val="1005"/>
        </w:numPr>
        <w:pStyle w:val="Compact"/>
      </w:pPr>
      <w:r>
        <w:t xml:space="preserve">A minimal path can be made</w:t>
      </w:r>
      <w:r>
        <w:t xml:space="preserve"> </w:t>
      </w:r>
      <w:r>
        <w:rPr>
          <w:b/>
        </w:rPr>
        <w:t xml:space="preserve">runnable</w:t>
      </w:r>
      <w:r>
        <w:t xml:space="preserve"> </w:t>
      </w:r>
      <w:r>
        <w:t xml:space="preserve">(imports,</w:t>
      </w:r>
      <w:r>
        <w:t xml:space="preserve"> </w:t>
      </w:r>
      <w:r>
        <w:rPr>
          <w:b/>
        </w:rPr>
        <w:t xml:space="preserve">demo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</w:rPr>
        <w:t xml:space="preserve">fit</w:t>
      </w:r>
      <w:r>
        <w:t xml:space="preserve">) to</w:t>
      </w:r>
      <w:r>
        <w:t xml:space="preserve"> </w:t>
      </w:r>
      <w:r>
        <w:rPr>
          <w:b/>
        </w:rPr>
        <w:t xml:space="preserve">stress-test</w:t>
      </w:r>
      <w:r>
        <w:t xml:space="preserve"> </w:t>
      </w:r>
      <w:r>
        <w:t xml:space="preserve">the paper’s</w:t>
      </w:r>
      <w:r>
        <w:t xml:space="preserve"> </w:t>
      </w:r>
      <w:r>
        <w:rPr>
          <w:i/>
        </w:rPr>
        <w:t xml:space="preserve">implicit</w:t>
      </w:r>
      <w:r>
        <w:t xml:space="preserve"> </w:t>
      </w:r>
      <w:r>
        <w:t xml:space="preserve">build burden; that does not re-validate the publication’s</w:t>
      </w:r>
      <w:r>
        <w:t xml:space="preserve"> </w:t>
      </w:r>
      <w:r>
        <w:rPr>
          <w:i/>
        </w:rPr>
        <w:t xml:space="preserve">numerical</w:t>
      </w:r>
      <w:r>
        <w:t xml:space="preserve"> </w:t>
      </w:r>
      <w:r>
        <w:t xml:space="preserve">results on ENIGMA data.</w:t>
      </w:r>
    </w:p>
    <w:p>
      <w:pPr>
        <w:numPr>
          <w:ilvl w:val="0"/>
          <w:numId w:val="1005"/>
        </w:numPr>
        <w:pStyle w:val="Compact"/>
      </w:pPr>
      <w:r>
        <w:t xml:space="preserve">A small</w:t>
      </w:r>
      <w:r>
        <w:t xml:space="preserve"> </w:t>
      </w:r>
      <w:r>
        <w:rPr>
          <w:rStyle w:val="VerbatimChar"/>
        </w:rPr>
        <w:t xml:space="preserve">ebm_tle/synthetic.py</w:t>
      </w:r>
      <w:r>
        <w:t xml:space="preserve"> </w:t>
      </w:r>
      <w:r>
        <w:t xml:space="preserve">workaround addresses vendored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import fragility in upstream pySuStaIn when installed as a package—</w:t>
      </w:r>
      <w:r>
        <w:rPr>
          <w:b/>
        </w:rPr>
        <w:t xml:space="preserve">upstream ergonomics</w:t>
      </w:r>
      <w:r>
        <w:t xml:space="preserve">, not a critique of the</w:t>
      </w:r>
      <w:r>
        <w:t xml:space="preserve"> </w:t>
      </w:r>
      <w:r>
        <w:rPr>
          <w:i/>
        </w:rPr>
        <w:t xml:space="preserve">paper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71c9e887ed16098e6306ba7d67d4055c5326e05"/>
      <w:r>
        <w:t xml:space="preserve">Performance, generalization, and comparison</w:t>
      </w:r>
      <w:bookmarkEnd w:id="31"/>
    </w:p>
    <w:p>
      <w:pPr>
        <w:pStyle w:val="Heading3"/>
      </w:pPr>
      <w:bookmarkStart w:id="32" w:name="Xa14bdb92853a379235de0b695cf7c12aecce6a9"/>
      <w:r>
        <w:t xml:space="preserve">Performance (as described vs. as experienced when reproducing the</w:t>
      </w:r>
      <w:r>
        <w:t xml:space="preserve"> </w:t>
      </w:r>
      <w:r>
        <w:rPr>
          <w:i/>
        </w:rPr>
        <w:t xml:space="preserve">method</w:t>
      </w:r>
      <w:r>
        <w:t xml:space="preserve">)</w:t>
      </w:r>
      <w:bookmarkEnd w:id="32"/>
    </w:p>
    <w:p>
      <w:pPr>
        <w:pStyle w:val="FirstParagraph"/>
      </w:pPr>
      <w:r>
        <w:rPr>
          <w:b/>
        </w:rPr>
        <w:t xml:space="preserve">Paper</w:t>
      </w:r>
    </w:p>
    <w:p>
      <w:pPr>
        <w:numPr>
          <w:ilvl w:val="0"/>
          <w:numId w:val="1006"/>
        </w:numPr>
        <w:pStyle w:val="Compact"/>
      </w:pPr>
      <w:r>
        <w:t xml:space="preserve">Heavy MCMC + bootstrap; multi-site</w:t>
      </w:r>
      <w:r>
        <w:t xml:space="preserve"> </w:t>
      </w:r>
      <w:r>
        <w:rPr>
          <w:i/>
        </w:rPr>
        <w:t xml:space="preserve">N</w:t>
      </w:r>
      <w:r>
        <w:t xml:space="preserve">; staging/sequence are compute-intensive vs. a simple regression.</w:t>
      </w:r>
    </w:p>
    <w:p>
      <w:pPr>
        <w:pStyle w:val="FirstParagraph"/>
      </w:pPr>
      <w:r>
        <w:rPr>
          <w:b/>
        </w:rPr>
        <w:t xml:space="preserve">When exercising a demo aligned with the paper’s stack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Demo</w:t>
      </w:r>
      <w:r>
        <w:t xml:space="preserve"> </w:t>
      </w:r>
      <w:r>
        <w:t xml:space="preserve">uses modest</w:t>
      </w:r>
      <w:r>
        <w:t xml:space="preserve"> </w:t>
      </w:r>
      <w:r>
        <w:rPr>
          <w:rStyle w:val="VerbatimChar"/>
        </w:rPr>
        <w:t xml:space="preserve">--mcmc</w:t>
      </w:r>
      <w:r>
        <w:t xml:space="preserve"> </w:t>
      </w:r>
      <w:r>
        <w:t xml:space="preserve">for</w:t>
      </w:r>
      <w:r>
        <w:t xml:space="preserve"> </w:t>
      </w:r>
      <w:r>
        <w:rPr>
          <w:b/>
        </w:rPr>
        <w:t xml:space="preserve">smoke</w:t>
      </w:r>
      <w:r>
        <w:t xml:space="preserve"> </w:t>
      </w:r>
      <w:r>
        <w:t xml:space="preserve">tests;</w:t>
      </w:r>
      <w:r>
        <w:t xml:space="preserve"> </w:t>
      </w:r>
      <w:r>
        <w:rPr>
          <w:b/>
        </w:rPr>
        <w:t xml:space="preserve">longer</w:t>
      </w:r>
      <w:r>
        <w:t xml:space="preserve"> </w:t>
      </w:r>
      <w:r>
        <w:t xml:space="preserve">runs are needed to approach published practice.</w:t>
      </w:r>
      <w:r>
        <w:t xml:space="preserve"> </w:t>
      </w:r>
      <w:r>
        <w:rPr>
          <w:rStyle w:val="VerbatimChar"/>
        </w:rPr>
        <w:t xml:space="preserve">./ebm check</w:t>
      </w:r>
      <w:r>
        <w:t xml:space="preserve"> </w:t>
      </w:r>
      <w:r>
        <w:t xml:space="preserve">validates environment, not a bench of the</w:t>
      </w:r>
      <w:r>
        <w:t xml:space="preserve"> </w:t>
      </w:r>
      <w:r>
        <w:rPr>
          <w:i/>
        </w:rPr>
        <w:t xml:space="preserve">paper</w:t>
      </w:r>
      <w:r>
        <w:t xml:space="preserve">’s full MCMC.</w:t>
      </w:r>
    </w:p>
    <w:p>
      <w:pPr>
        <w:pStyle w:val="Heading3"/>
      </w:pPr>
      <w:bookmarkStart w:id="33" w:name="generalization-from-the-paper"/>
      <w:r>
        <w:t xml:space="preserve">Generalization (from the paper)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Orderings and mixtures are</w:t>
      </w:r>
      <w:r>
        <w:t xml:space="preserve"> </w:t>
      </w:r>
      <w:r>
        <w:rPr>
          <w:b/>
        </w:rPr>
        <w:t xml:space="preserve">cohort-specific</w:t>
      </w:r>
      <w:r>
        <w:t xml:space="preserve">; transport requires</w:t>
      </w:r>
      <w:r>
        <w:t xml:space="preserve"> </w:t>
      </w:r>
      <w:r>
        <w:rPr>
          <w:b/>
        </w:rPr>
        <w:t xml:space="preserve">aligned</w:t>
      </w:r>
      <w:r>
        <w:t xml:space="preserve"> </w:t>
      </w:r>
      <w:r>
        <w:t xml:space="preserve">biomarkers and preprocessing.</w:t>
      </w:r>
      <w:r>
        <w:t xml:space="preserve"> </w:t>
      </w:r>
      <w:r>
        <w:rPr>
          <w:b/>
        </w:rPr>
        <w:t xml:space="preserve">Site / scanner</w:t>
      </w:r>
      <w:r>
        <w:t xml:space="preserve"> </w:t>
      </w:r>
      <w:r>
        <w:t xml:space="preserve">effects in morphometry are discussed in the publication (e.g. Stage 0 rates).</w:t>
      </w:r>
    </w:p>
    <w:p>
      <w:pPr>
        <w:pStyle w:val="Heading3"/>
      </w:pPr>
      <w:bookmarkStart w:id="34" w:name="comparison-to-other-approaches"/>
      <w:r>
        <w:t xml:space="preserve">Comparison to other approaches</w:t>
      </w:r>
      <w:bookmarkEnd w:id="34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Granger / longitudinal</w:t>
      </w:r>
      <w:r>
        <w:t xml:space="preserve"> </w:t>
      </w:r>
      <w:r>
        <w:t xml:space="preserve">paths differ; this EBM is</w:t>
      </w:r>
      <w:r>
        <w:t xml:space="preserve"> </w:t>
      </w:r>
      <w:r>
        <w:rPr>
          <w:b/>
        </w:rPr>
        <w:t xml:space="preserve">cross-sectional ordering</w:t>
      </w:r>
      <w:r>
        <w:t xml:space="preserve"> </w:t>
      </w:r>
      <w:r>
        <w:t xml:space="preserve">under the paper’s mixture + monotonicity framing. The</w:t>
      </w:r>
      <w:r>
        <w:t xml:space="preserve"> </w:t>
      </w:r>
      <w:r>
        <w:rPr>
          <w:b/>
        </w:rPr>
        <w:t xml:space="preserve">publication</w:t>
      </w:r>
      <w:r>
        <w:t xml:space="preserve"> </w:t>
      </w:r>
      <w:r>
        <w:t xml:space="preserve">situates the work in the same broad</w:t>
      </w:r>
      <w:r>
        <w:t xml:space="preserve"> </w:t>
      </w:r>
      <w:r>
        <w:rPr>
          <w:b/>
        </w:rPr>
        <w:t xml:space="preserve">pySuStaIn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kde_ebm</w:t>
      </w:r>
      <w:r>
        <w:t xml:space="preserve"> </w:t>
      </w:r>
      <w:r>
        <w:t xml:space="preserve">line as other progression modeling (e.g. AD) applied here to MTLE-HS.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0f681d1ed324eb165cb7abafaaf9502be529245"/>
      <w:r>
        <w:t xml:space="preserve">Clinical relevance, interpretability, and integration</w:t>
      </w:r>
      <w:bookmarkEnd w:id="35"/>
    </w:p>
    <w:p>
      <w:pPr>
        <w:pStyle w:val="FirstParagraph"/>
      </w:pPr>
      <w:r>
        <w:rPr>
          <w:i/>
        </w:rPr>
        <w:t xml:space="preserve">All points below are about how the</w:t>
      </w:r>
      <w:r>
        <w:rPr>
          <w:i/>
        </w:rPr>
        <w:t xml:space="preserve"> </w:t>
      </w:r>
      <w:r>
        <w:rPr>
          <w:b/>
          <w:i/>
        </w:rPr>
        <w:t xml:space="preserve">paper</w:t>
      </w:r>
      <w:r>
        <w:rPr>
          <w:i/>
        </w:rPr>
        <w:t xml:space="preserve"> </w:t>
      </w:r>
      <w:r>
        <w:rPr>
          <w:i/>
        </w:rPr>
        <w:t xml:space="preserve">positions staging and use—not an endorsement of any local shell for care.</w:t>
      </w:r>
    </w:p>
    <w:p>
      <w:pPr>
        <w:pStyle w:val="Heading3"/>
      </w:pPr>
      <w:bookmarkStart w:id="36" w:name="clinical-relevance-from-the-paper"/>
      <w:r>
        <w:t xml:space="preserve">Clinical relevance (from the paper)</w:t>
      </w:r>
      <w:bookmarkEnd w:id="36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Research:</w:t>
      </w:r>
      <w:r>
        <w:t xml:space="preserve"> </w:t>
      </w:r>
      <w:r>
        <w:t xml:space="preserve">Staging/sequence for</w:t>
      </w:r>
      <w:r>
        <w:t xml:space="preserve"> </w:t>
      </w:r>
      <w:r>
        <w:rPr>
          <w:b/>
        </w:rPr>
        <w:t xml:space="preserve">hypothesis generation</w:t>
      </w:r>
      <w:r>
        <w:t xml:space="preserve"> </w:t>
      </w:r>
      <w:r>
        <w:t xml:space="preserve">and description; the paper highlights limits relating fine stages to</w:t>
      </w:r>
      <w:r>
        <w:t xml:space="preserve"> </w:t>
      </w:r>
      <w:r>
        <w:rPr>
          <w:b/>
        </w:rPr>
        <w:t xml:space="preserve">clinical</w:t>
      </w:r>
      <w:r>
        <w:t xml:space="preserve"> </w:t>
      </w:r>
      <w:r>
        <w:t xml:space="preserve">endpoints (much of the signal in</w:t>
      </w:r>
      <w:r>
        <w:t xml:space="preserve"> </w:t>
      </w:r>
      <w:r>
        <w:rPr>
          <w:b/>
        </w:rPr>
        <w:t xml:space="preserve">Stage 0 vs not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Clinical production</w:t>
      </w:r>
      <w:r>
        <w:t xml:space="preserve"> </w:t>
      </w:r>
      <w:r>
        <w:t xml:space="preserve">(diagnosis, surgery selection, etc.)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the claim of Lopez et al. in the sense of a regulated device; fine stage–outcome links remain limited in that report.</w:t>
      </w:r>
    </w:p>
    <w:p>
      <w:pPr>
        <w:pStyle w:val="Heading3"/>
      </w:pPr>
      <w:bookmarkStart w:id="37" w:name="interpretability-and-trust-methods-level"/>
      <w:r>
        <w:t xml:space="preserve">Interpretability and trust (methods-level)</w:t>
      </w:r>
      <w:bookmarkEnd w:id="37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What’s interpretable in the</w:t>
      </w:r>
      <w:r>
        <w:rPr>
          <w:b/>
        </w:rPr>
        <w:t xml:space="preserve"> </w:t>
      </w:r>
      <w:r>
        <w:rPr>
          <w:i/>
          <w:b/>
        </w:rPr>
        <w:t xml:space="preserve">paper’s</w:t>
      </w:r>
      <w:r>
        <w:rPr>
          <w:b/>
        </w:rPr>
        <w:t xml:space="preserve"> </w:t>
      </w:r>
      <w:r>
        <w:rPr>
          <w:b/>
        </w:rPr>
        <w:t xml:space="preserve">outputs:</w:t>
      </w:r>
      <w:r>
        <w:t xml:space="preserve"> </w:t>
      </w:r>
      <w:r>
        <w:t xml:space="preserve">e.g. </w:t>
      </w:r>
      <w:r>
        <w:rPr>
          <w:rStyle w:val="VerbatimChar"/>
          <w:b/>
        </w:rPr>
        <w:t xml:space="preserve">ml_stage</w:t>
      </w:r>
      <w:r>
        <w:t xml:space="preserve">, subtype/stage structure, and companion artifacts the methods describe (e.g. </w:t>
      </w:r>
      <w:r>
        <w:rPr>
          <w:rStyle w:val="VerbatimChar"/>
          <w:b/>
        </w:rPr>
        <w:t xml:space="preserve">pickle_files/</w:t>
      </w:r>
      <w:r>
        <w:t xml:space="preserve"> </w:t>
      </w:r>
      <w:r>
        <w:t xml:space="preserve">in the SuStaIn pattern).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What dominates failure modes:</w:t>
      </w:r>
      <w:r>
        <w:t xml:space="preserve"> </w:t>
      </w:r>
      <w:r>
        <w:t xml:space="preserve">feature quality, segmentation, and table semantics—i.e. </w:t>
      </w:r>
      <w:r>
        <w:rPr>
          <w:b/>
        </w:rPr>
        <w:t xml:space="preserve">measurement and cohort</w:t>
      </w:r>
      <w:r>
        <w:t xml:space="preserve"> </w:t>
      </w:r>
      <w:r>
        <w:t xml:space="preserve">issues, not just</w:t>
      </w:r>
      <w:r>
        <w:t xml:space="preserve"> </w:t>
      </w:r>
      <w:r>
        <w:t xml:space="preserve">“</w:t>
      </w:r>
      <w:r>
        <w:t xml:space="preserve">code bugs.</w:t>
      </w:r>
      <w:r>
        <w:t xml:space="preserve">”</w:t>
      </w:r>
    </w:p>
    <w:p>
      <w:pPr>
        <w:pStyle w:val="Heading3"/>
      </w:pPr>
      <w:bookmarkStart w:id="38" w:name="Xdb3fdd3ffcd6970cd2ca6e8305816ac24d35010"/>
      <w:r>
        <w:t xml:space="preserve">Integration (where the</w:t>
      </w:r>
      <w:r>
        <w:t xml:space="preserve"> </w:t>
      </w:r>
      <w:r>
        <w:rPr>
          <w:i/>
        </w:rPr>
        <w:t xml:space="preserve">paper</w:t>
      </w:r>
      <w:r>
        <w:t xml:space="preserve"> </w:t>
      </w:r>
      <w:r>
        <w:t xml:space="preserve">points research workflows)</w:t>
      </w:r>
      <w:bookmarkEnd w:id="38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Natural research path:</w:t>
      </w:r>
      <w:r>
        <w:t xml:space="preserve"> </w:t>
      </w:r>
      <w:r>
        <w:t xml:space="preserve">BIDS + FreeSurfer/ENIGMA-style summaries</w:t>
      </w:r>
      <w:r>
        <w:t xml:space="preserve"> </w:t>
      </w:r>
      <w:r>
        <w:rPr>
          <w:b/>
        </w:rPr>
        <w:t xml:space="preserve">→</w:t>
      </w:r>
      <w:r>
        <w:t xml:space="preserve"> </w:t>
      </w:r>
      <w:r>
        <w:t xml:space="preserve">a cohort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step on a table—consistent with the</w:t>
      </w:r>
      <w:r>
        <w:t xml:space="preserve"> </w:t>
      </w:r>
      <w:r>
        <w:rPr>
          <w:i/>
        </w:rPr>
        <w:t xml:space="preserve">paper</w:t>
      </w:r>
      <w:r>
        <w:t xml:space="preserve">’s data choice.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Regulated / clinical</w:t>
      </w:r>
      <w:r>
        <w:t xml:space="preserve"> </w:t>
      </w:r>
      <w:r>
        <w:t xml:space="preserve">deployment is a separate design and governance problem from</w:t>
      </w:r>
      <w:r>
        <w:t xml:space="preserve"> </w:t>
      </w:r>
      <w:r>
        <w:rPr>
          <w:b/>
        </w:rPr>
        <w:t xml:space="preserve">reporting</w:t>
      </w:r>
      <w:r>
        <w:t xml:space="preserve"> </w:t>
      </w:r>
      <w:r>
        <w:t xml:space="preserve">the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methods.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limitations-paper-vs.-operational-asides"/>
      <w:r>
        <w:t xml:space="preserve">Limitations: paper vs. operational asides</w:t>
      </w:r>
      <w:bookmarkEnd w:id="39"/>
    </w:p>
    <w:p>
      <w:pPr>
        <w:pStyle w:val="FirstParagraph"/>
      </w:pPr>
      <w:r>
        <w:rPr>
          <w:b/>
        </w:rPr>
        <w:t xml:space="preserve">From the</w:t>
      </w:r>
      <w:r>
        <w:rPr>
          <w:b/>
        </w:rPr>
        <w:t xml:space="preserve"> </w:t>
      </w:r>
      <w:r>
        <w:rPr>
          <w:i/>
          <w:b/>
        </w:rPr>
        <w:t xml:space="preserve">paper</w:t>
      </w:r>
      <w:r>
        <w:rPr>
          <w:b/>
        </w:rPr>
        <w:t xml:space="preserve"> </w:t>
      </w:r>
      <w:r>
        <w:rPr>
          <w:b/>
        </w:rPr>
        <w:t xml:space="preserve">and the methods family</w:t>
      </w:r>
    </w:p>
    <w:p>
      <w:pPr>
        <w:numPr>
          <w:ilvl w:val="0"/>
          <w:numId w:val="1013"/>
        </w:numPr>
        <w:pStyle w:val="Compact"/>
      </w:pPr>
      <w:r>
        <w:t xml:space="preserve">Interpreting stages requires sound</w:t>
      </w:r>
      <w:r>
        <w:t xml:space="preserve"> </w:t>
      </w:r>
      <w:r>
        <w:rPr>
          <w:b/>
        </w:rPr>
        <w:t xml:space="preserve">KDE</w:t>
      </w:r>
      <w:r>
        <w:t xml:space="preserve"> </w:t>
      </w:r>
      <w:r>
        <w:t xml:space="preserve">separation and defensible</w:t>
      </w:r>
      <w:r>
        <w:t xml:space="preserve"> </w:t>
      </w:r>
      <w:r>
        <w:rPr>
          <w:b/>
        </w:rPr>
        <w:t xml:space="preserve">biomarkers</w:t>
      </w:r>
      <w:r>
        <w:t xml:space="preserve">; the publication discusses heterogeneity and limitations on fine clinical mapping.</w:t>
      </w:r>
    </w:p>
    <w:p>
      <w:pPr>
        <w:pStyle w:val="FirstParagraph"/>
      </w:pPr>
      <w:r>
        <w:rPr>
          <w:b/>
        </w:rPr>
        <w:t xml:space="preserve">Operational notes (from our</w:t>
      </w:r>
      <w:r>
        <w:rPr>
          <w:b/>
        </w:rPr>
        <w:t xml:space="preserve"> </w:t>
      </w:r>
      <w:r>
        <w:rPr>
          <w:i/>
          <w:b/>
        </w:rPr>
        <w:t xml:space="preserve">grounding</w:t>
      </w:r>
      <w:r>
        <w:rPr>
          <w:b/>
        </w:rPr>
        <w:t xml:space="preserve"> </w:t>
      </w:r>
      <w:r>
        <w:rPr>
          <w:b/>
        </w:rPr>
        <w:t xml:space="preserve">exercise; illustrative)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No in-repo imaging pipeline;</w:t>
      </w:r>
      <w:r>
        <w:t xml:space="preserve"> </w:t>
      </w:r>
      <w:r>
        <w:t xml:space="preserve">table construction is the researcher’s job—again aligning with the</w:t>
      </w:r>
      <w:r>
        <w:t xml:space="preserve"> </w:t>
      </w:r>
      <w:r>
        <w:rPr>
          <w:b/>
        </w:rPr>
        <w:t xml:space="preserve">paper</w:t>
      </w:r>
      <w:r>
        <w:t xml:space="preserve">’s reliance on pre-derived ENIGMA-style features.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Networked install</w:t>
      </w:r>
      <w:r>
        <w:t xml:space="preserve"> </w:t>
      </w:r>
      <w:r>
        <w:t xml:space="preserve">to pull</w:t>
      </w:r>
      <w:r>
        <w:t xml:space="preserve"> </w:t>
      </w:r>
      <w:r>
        <w:rPr>
          <w:rStyle w:val="VerbatimChar"/>
        </w:rPr>
        <w:t xml:space="preserve">pySuStaIn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kde_ebm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awkde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Background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in this tree runs the</w:t>
      </w:r>
      <w:r>
        <w:t xml:space="preserve"> </w:t>
      </w:r>
      <w:r>
        <w:rPr>
          <w:b/>
        </w:rPr>
        <w:t xml:space="preserve">synthetic</w:t>
      </w:r>
      <w:r>
        <w:t xml:space="preserve"> </w:t>
      </w:r>
      <w:r>
        <w:t xml:space="preserve">demo by default; not a production job scheduler.</w:t>
      </w:r>
      <w:r>
        <w:t xml:space="preserve"> </w:t>
      </w:r>
      <w:r>
        <w:rPr>
          <w:b/>
        </w:rPr>
        <w:t xml:space="preserve">Headless</w:t>
      </w:r>
      <w:r>
        <w:t xml:space="preserve"> </w:t>
      </w:r>
      <w:r>
        <w:t xml:space="preserve">runs may need</w:t>
      </w:r>
      <w:r>
        <w:t xml:space="preserve"> </w:t>
      </w:r>
      <w:r>
        <w:rPr>
          <w:rStyle w:val="VerbatimChar"/>
        </w:rPr>
        <w:t xml:space="preserve">MPLBACKEND=Agg</w:t>
      </w:r>
      <w:r>
        <w:t xml:space="preserve"> </w:t>
      </w:r>
      <w:r>
        <w:t xml:space="preserve">(as in our wrapper).</w:t>
      </w:r>
      <w:r>
        <w:t xml:space="preserve"> </w:t>
      </w:r>
      <w:r>
        <w:rPr>
          <w:b/>
        </w:rPr>
        <w:t xml:space="preserve">I/O</w:t>
      </w:r>
      <w:r>
        <w:t xml:space="preserve"> </w:t>
      </w:r>
      <w:r>
        <w:t xml:space="preserve">on shared filesystems can hurt large</w:t>
      </w:r>
      <w:r>
        <w:t xml:space="preserve"> </w:t>
      </w:r>
      <w:r>
        <w:rPr>
          <w:b/>
        </w:rPr>
        <w:t xml:space="preserve">pickle</w:t>
      </w:r>
      <w:r>
        <w:t xml:space="preserve"> </w:t>
      </w:r>
      <w:r>
        <w:t xml:space="preserve">writes—these are</w:t>
      </w:r>
      <w:r>
        <w:t xml:space="preserve"> </w:t>
      </w:r>
      <w:r>
        <w:rPr>
          <w:b/>
        </w:rPr>
        <w:t xml:space="preserve">deployment hygiene</w:t>
      </w:r>
      <w:r>
        <w:t xml:space="preserve"> </w:t>
      </w:r>
      <w:r>
        <w:t xml:space="preserve">observations, not central to scoring the</w:t>
      </w:r>
      <w:r>
        <w:t xml:space="preserve"> </w:t>
      </w:r>
      <w:r>
        <w:rPr>
          <w:i/>
        </w:rPr>
        <w:t xml:space="preserve">article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builder-insight-synthesis-paper-in-focus"/>
      <w:r>
        <w:t xml:space="preserve">Builder insight (synthesis:</w:t>
      </w:r>
      <w:r>
        <w:t xml:space="preserve"> </w:t>
      </w:r>
      <w:r>
        <w:rPr>
          <w:b/>
        </w:rPr>
        <w:t xml:space="preserve">paper</w:t>
      </w:r>
      <w:r>
        <w:t xml:space="preserve"> </w:t>
      </w:r>
      <w:r>
        <w:t xml:space="preserve">in focus)</w:t>
      </w:r>
      <w:bookmarkEnd w:id="40"/>
    </w:p>
    <w:p>
      <w:pPr>
        <w:pStyle w:val="FirstParagraph"/>
      </w:pPr>
      <w:r>
        <w:t xml:space="preserve">Lopez et al. give a defensible</w:t>
      </w:r>
      <w:r>
        <w:t xml:space="preserve"> </w:t>
      </w:r>
      <w:r>
        <w:rPr>
          <w:b/>
        </w:rPr>
        <w:t xml:space="preserve">cross-sectional EBM</w:t>
      </w:r>
      <w:r>
        <w:t xml:space="preserve"> </w:t>
      </w:r>
      <w:r>
        <w:t xml:space="preserve">account on</w:t>
      </w:r>
      <w:r>
        <w:t xml:space="preserve"> </w:t>
      </w:r>
      <w:r>
        <w:rPr>
          <w:b/>
        </w:rPr>
        <w:t xml:space="preserve">T1</w:t>
      </w:r>
      <w:r>
        <w:t xml:space="preserve"> </w:t>
      </w:r>
      <w:r>
        <w:t xml:space="preserve">morphometry in</w:t>
      </w:r>
      <w:r>
        <w:t xml:space="preserve"> </w:t>
      </w:r>
      <w:r>
        <w:rPr>
          <w:b/>
        </w:rPr>
        <w:t xml:space="preserve">TLE</w:t>
      </w:r>
      <w:r>
        <w:t xml:space="preserve"> </w:t>
      </w:r>
      <w:r>
        <w:t xml:space="preserve">with a clear</w:t>
      </w:r>
      <w:r>
        <w:t xml:space="preserve"> </w:t>
      </w:r>
      <w:r>
        <w:rPr>
          <w:b/>
        </w:rPr>
        <w:t xml:space="preserve">Stage 0</w:t>
      </w:r>
      <w:r>
        <w:t xml:space="preserve"> </w:t>
      </w:r>
      <w:r>
        <w:t xml:space="preserve">message and an honest discussion of</w:t>
      </w:r>
      <w:r>
        <w:t xml:space="preserve"> </w:t>
      </w:r>
      <w:r>
        <w:rPr>
          <w:b/>
        </w:rPr>
        <w:t xml:space="preserve">limits vs. fine clinical staging</w:t>
      </w:r>
      <w:r>
        <w:t xml:space="preserve">. The</w:t>
      </w:r>
      <w:r>
        <w:t xml:space="preserve"> </w:t>
      </w:r>
      <w:r>
        <w:rPr>
          <w:b/>
        </w:rPr>
        <w:t xml:space="preserve">open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kde_ebm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MixtureSustain</w:t>
      </w:r>
      <w:r>
        <w:t xml:space="preserve"> </w:t>
      </w:r>
      <w:r>
        <w:t xml:space="preserve">/ pySuStaIn) is the one the</w:t>
      </w:r>
      <w:r>
        <w:t xml:space="preserve"> </w:t>
      </w:r>
      <w:r>
        <w:rPr>
          <w:b/>
        </w:rPr>
        <w:t xml:space="preserve">publication</w:t>
      </w:r>
      <w:r>
        <w:t xml:space="preserve">’s method story assumes; our</w:t>
      </w:r>
      <w:r>
        <w:t xml:space="preserve"> </w:t>
      </w:r>
      <w:r>
        <w:rPr>
          <w:b/>
        </w:rPr>
        <w:t xml:space="preserve">small shell</w:t>
      </w:r>
      <w:r>
        <w:t xml:space="preserve"> </w:t>
      </w:r>
      <w:r>
        <w:t xml:space="preserve">was only to</w:t>
      </w:r>
      <w:r>
        <w:t xml:space="preserve"> </w:t>
      </w:r>
      <w:r>
        <w:rPr>
          <w:b/>
        </w:rPr>
        <w:t xml:space="preserve">get hands on that same stack</w:t>
      </w:r>
      <w:r>
        <w:t xml:space="preserve"> </w:t>
      </w:r>
      <w:r>
        <w:t xml:space="preserve">to write this review, not to replace</w:t>
      </w:r>
      <w:r>
        <w:t xml:space="preserve"> </w:t>
      </w:r>
      <w:r>
        <w:rPr>
          <w:b/>
        </w:rPr>
        <w:t xml:space="preserve">ENIGMA</w:t>
      </w:r>
      <w:r>
        <w:t xml:space="preserve"> </w:t>
      </w:r>
      <w:r>
        <w:t xml:space="preserve">feature work or the</w:t>
      </w:r>
      <w:r>
        <w:t xml:space="preserve"> </w:t>
      </w:r>
      <w:r>
        <w:rPr>
          <w:b/>
        </w:rPr>
        <w:t xml:space="preserve">original study’s</w:t>
      </w:r>
      <w:r>
        <w:t xml:space="preserve"> </w:t>
      </w:r>
      <w:r>
        <w:t xml:space="preserve">validation. The real</w:t>
      </w:r>
      <w:r>
        <w:t xml:space="preserve"> </w:t>
      </w:r>
      <w:r>
        <w:rPr>
          <w:b/>
        </w:rPr>
        <w:t xml:space="preserve">builder gap</w:t>
      </w:r>
      <w:r>
        <w:t xml:space="preserve">—for the</w:t>
      </w:r>
      <w:r>
        <w:t xml:space="preserve"> </w:t>
      </w:r>
      <w:r>
        <w:rPr>
          <w:i/>
        </w:rPr>
        <w:t xml:space="preserve">paper’s</w:t>
      </w:r>
      <w:r>
        <w:t xml:space="preserve"> </w:t>
      </w:r>
      <w:r>
        <w:t xml:space="preserve">use cases—is still</w:t>
      </w:r>
      <w:r>
        <w:t xml:space="preserve"> </w:t>
      </w:r>
      <w:r>
        <w:rPr>
          <w:b/>
        </w:rPr>
        <w:t xml:space="preserve">biomarker tables, |</w:t>
      </w:r>
      <w:r>
        <w:rPr>
          <w:i/>
          <w:b/>
        </w:rPr>
        <w:t xml:space="preserve">d</w:t>
      </w:r>
      <w:r>
        <w:rPr>
          <w:b/>
        </w:rPr>
        <w:t xml:space="preserve">| / screening, and biologically coherent staging interpretation</w:t>
      </w:r>
      <w:r>
        <w:t xml:space="preserve">, not pip wiring alone.</w:t>
      </w:r>
    </w:p>
    <w:p>
      <w:pPr>
        <w:pStyle w:val="BodyText"/>
      </w:pPr>
      <w:r>
        <w:rPr>
          <w:b/>
        </w:rPr>
        <w:t xml:space="preserve">If extending</w:t>
      </w:r>
      <w:r>
        <w:rPr>
          <w:b/>
        </w:rPr>
        <w:t xml:space="preserve"> </w:t>
      </w:r>
      <w:r>
        <w:rPr>
          <w:i/>
          <w:b/>
        </w:rPr>
        <w:t xml:space="preserve">research plumbing</w:t>
      </w:r>
      <w:r>
        <w:rPr>
          <w:b/>
        </w:rPr>
        <w:t xml:space="preserve"> </w:t>
      </w:r>
      <w:r>
        <w:rPr>
          <w:b/>
        </w:rPr>
        <w:t xml:space="preserve">(optional; not a review of our repo as a product)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t xml:space="preserve">e.g. </w:t>
      </w:r>
      <w:r>
        <w:rPr>
          <w:rStyle w:val="VerbatimChar"/>
        </w:rPr>
        <w:t xml:space="preserve">examples/cohort_template.csv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smoke</w:t>
      </w:r>
      <w:r>
        <w:t xml:space="preserve"> </w:t>
      </w:r>
      <w:r>
        <w:rPr>
          <w:rStyle w:val="VerbatimChar"/>
        </w:rPr>
        <w:t xml:space="preserve">fit</w:t>
      </w:r>
      <w:r>
        <w:t xml:space="preserve">,</w:t>
      </w:r>
      <w:r>
        <w:t xml:space="preserve"> </w:t>
      </w:r>
      <w:r>
        <w:rPr>
          <w:b/>
        </w:rPr>
        <w:t xml:space="preserve">Slurm</w:t>
      </w:r>
      <w:r>
        <w:t xml:space="preserve"> </w:t>
      </w:r>
      <w:r>
        <w:t xml:space="preserve">wrappers for long jobs, or upstream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import cleanups in pySuStaIn.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commands-appendix-local-grounding"/>
      <w:r>
        <w:t xml:space="preserve">Commands (appendix: local grounding)</w:t>
      </w:r>
      <w:bookmarkEnd w:id="41"/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./ebm          # once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install           # venv + pip install (-e pySuStaIn + kde_ebm)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check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demo --output runs/demo --mcmc 8000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fit cohort.csv --output runs/fit_out --group-col group --subject-col subject_id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start             # background demo → .ebm/logs/fit.log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logs -n 100</w:t>
      </w:r>
      <w:r>
        <w:br/>
      </w:r>
      <w:r>
        <w:rPr>
          <w:rStyle w:val="ExtensionTok"/>
        </w:rPr>
        <w:t xml:space="preserve">./ebm</w:t>
      </w:r>
      <w:r>
        <w:rPr>
          <w:rStyle w:val="NormalTok"/>
        </w:rPr>
        <w:t xml:space="preserve"> stop</w:t>
      </w:r>
    </w:p>
    <w:p>
      <w:pPr>
        <w:pStyle w:val="FirstParagraph"/>
      </w:pPr>
      <w:r>
        <w:rPr>
          <w:b/>
        </w:rPr>
        <w:t xml:space="preserve">Outputs of that path: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demo_stages.csv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*_stages.csv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fit_meta.json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pickle_files/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--output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for version).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references-selected"/>
      <w:r>
        <w:t xml:space="preserve">References (selected)</w:t>
      </w:r>
      <w:bookmarkEnd w:id="42"/>
    </w:p>
    <w:p>
      <w:pPr>
        <w:numPr>
          <w:ilvl w:val="0"/>
          <w:numId w:val="1016"/>
        </w:numPr>
        <w:pStyle w:val="Compact"/>
      </w:pPr>
      <w:r>
        <w:t xml:space="preserve">Lopez et al. 2022</w:t>
      </w:r>
      <w:r>
        <w:t xml:space="preserve"> </w:t>
      </w:r>
      <w:r>
        <w:rPr>
          <w:i/>
        </w:rPr>
        <w:t xml:space="preserve">Epilepsia</w:t>
      </w:r>
      <w:r>
        <w:t xml:space="preserve"> </w:t>
      </w:r>
      <w:r>
        <w:t xml:space="preserve">— MTLE-HS KDE EBM (DOI above).</w:t>
      </w:r>
    </w:p>
    <w:p>
      <w:pPr>
        <w:numPr>
          <w:ilvl w:val="0"/>
          <w:numId w:val="1016"/>
        </w:numPr>
        <w:pStyle w:val="Compact"/>
      </w:pPr>
      <w:hyperlink r:id="rId24">
        <w:r>
          <w:rPr>
            <w:rStyle w:val="Hyperlink"/>
          </w:rPr>
          <w:t xml:space="preserve">EBM_TLE.md</w:t>
        </w:r>
      </w:hyperlink>
      <w:r>
        <w:t xml:space="preserve"> </w:t>
      </w:r>
      <w:r>
        <w:t xml:space="preserve">— short paper summary in this folder.</w:t>
      </w:r>
    </w:p>
    <w:p>
      <w:pPr>
        <w:numPr>
          <w:ilvl w:val="0"/>
          <w:numId w:val="1016"/>
        </w:numPr>
        <w:pStyle w:val="Compact"/>
      </w:pPr>
      <w:r>
        <w:t xml:space="preserve">pySuStaIn / kde_ebm — UCL POND tooling (via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GitHub).</w:t>
      </w:r>
    </w:p>
    <w:p>
      <w:pPr>
        <w:numPr>
          <w:ilvl w:val="0"/>
          <w:numId w:val="1016"/>
        </w:numPr>
        <w:pStyle w:val="Compact"/>
      </w:pPr>
      <w:r>
        <w:t xml:space="preserve">Builder Review criteria (local or internal) — for alignment with other</w:t>
      </w:r>
      <w:r>
        <w:t xml:space="preserve"> </w:t>
      </w:r>
      <w:r>
        <w:rPr>
          <w:i/>
        </w:rPr>
        <w:t xml:space="preserve">paper</w:t>
      </w:r>
      <w:r>
        <w:t xml:space="preserve"> </w:t>
      </w:r>
      <w:r>
        <w:t xml:space="preserve">reviews in this style.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EBM_TLE.md" TargetMode="External" /><Relationship Type="http://schemas.openxmlformats.org/officeDocument/2006/relationships/hyperlink" Id="rId21" Target="USER_GUIDE.md" TargetMode="External" /><Relationship Type="http://schemas.openxmlformats.org/officeDocument/2006/relationships/hyperlink" Id="rId22" Target="https://doi.org/10.1111/epi.17316" TargetMode="External" /><Relationship Type="http://schemas.openxmlformats.org/officeDocument/2006/relationships/hyperlink" Id="rId27" Target="https://github.com/ucl-pond/kde_ebm" TargetMode="External" /><Relationship Type="http://schemas.openxmlformats.org/officeDocument/2006/relationships/hyperlink" Id="rId26" Target="https://github.com/ucl-pond/pySuStaIn" TargetMode="External" /><Relationship Type="http://schemas.openxmlformats.org/officeDocument/2006/relationships/hyperlink" Id="rId23" Target="https://pmc.ncbi.nlm.nih.gov/articles/PMC9540015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EBM_TLE.md" TargetMode="External" /><Relationship Type="http://schemas.openxmlformats.org/officeDocument/2006/relationships/hyperlink" Id="rId21" Target="USER_GUIDE.md" TargetMode="External" /><Relationship Type="http://schemas.openxmlformats.org/officeDocument/2006/relationships/hyperlink" Id="rId22" Target="https://doi.org/10.1111/epi.17316" TargetMode="External" /><Relationship Type="http://schemas.openxmlformats.org/officeDocument/2006/relationships/hyperlink" Id="rId27" Target="https://github.com/ucl-pond/kde_ebm" TargetMode="External" /><Relationship Type="http://schemas.openxmlformats.org/officeDocument/2006/relationships/hyperlink" Id="rId26" Target="https://github.com/ucl-pond/pySuStaIn" TargetMode="External" /><Relationship Type="http://schemas.openxmlformats.org/officeDocument/2006/relationships/hyperlink" Id="rId23" Target="https://pmc.ncbi.nlm.nih.gov/articles/PMC954001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2026-04-24T02:29:02Z</dcterms:created>
  <dcterms:modified xsi:type="dcterms:W3CDTF">2026-04-24T02:29:02Z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