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16126cdb547d58d8666f9c828bab3ee906a8a4"/>
      <w:r>
        <w:t xml:space="preserve">Builder Review — Lopez et al. 2022 (</w:t>
      </w:r>
      <w:r>
        <w:rPr>
          <w:i/>
        </w:rPr>
        <w:t xml:space="preserve">Epilepsia</w:t>
      </w:r>
      <w:r>
        <w:t xml:space="preserve"> </w:t>
      </w:r>
      <w:r>
        <w:t xml:space="preserve">KDE EBM in MTLE-HS)</w:t>
      </w:r>
      <w:bookmarkEnd w:id="20"/>
    </w:p>
    <w:p>
      <w:pPr>
        <w:pStyle w:val="FirstParagraph"/>
      </w:pPr>
      <w:r>
        <w:rPr>
          <w:b/>
        </w:rPr>
        <w:t xml:space="preserve">Builder Review</w:t>
      </w:r>
      <w:r>
        <w:t xml:space="preserve"> </w:t>
      </w:r>
      <w:r>
        <w:t xml:space="preserve">of the paper below—design, evidence, and what to expect when using the same methods. A small local stack (</w:t>
      </w:r>
      <w:r>
        <w:rPr>
          <w:rStyle w:val="VerbatimChar"/>
        </w:rPr>
        <w:t xml:space="preserve">EBM_TLE/</w:t>
      </w:r>
      <w:r>
        <w:t xml:space="preserve">,</w:t>
      </w:r>
      <w:r>
        <w:t xml:space="preserve"> </w:t>
      </w:r>
      <w:r>
        <w:rPr>
          <w:rStyle w:val="VerbatimChar"/>
        </w:rPr>
        <w:t xml:space="preserve">./ebm</w:t>
      </w:r>
      <w:r>
        <w:t xml:space="preserve">)</w:t>
      </w:r>
      <w:r>
        <w:t xml:space="preserve"> </w:t>
      </w:r>
      <w:r>
        <w:rPr>
          <w:b/>
        </w:rPr>
        <w:t xml:space="preserve">grounds</w:t>
      </w:r>
      <w:r>
        <w:t xml:space="preserve"> </w:t>
      </w:r>
      <w:r>
        <w:t xml:space="preserve">notes on reproducibility and runtime; it supports the write-up, not a separate product review. Style: usability, reproducibility, performance, generalization, clinical framing, interpretability, integration, limitations, builder takeaway.</w:t>
      </w:r>
    </w:p>
    <w:p>
      <w:pPr>
        <w:pStyle w:val="BlockText"/>
      </w:pPr>
      <w:r>
        <w:rPr>
          <w:b/>
        </w:rPr>
        <w:t xml:space="preserve">Review object: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publication</w:t>
      </w:r>
      <w:r>
        <w:t xml:space="preserve"> </w:t>
      </w:r>
      <w:r>
        <w:t xml:space="preserve">(Lopez et al. 2022).</w:t>
      </w:r>
      <w:r>
        <w:t xml:space="preserve"> </w:t>
      </w:r>
      <w:r>
        <w:rPr>
          <w:b/>
        </w:rPr>
        <w:t xml:space="preserve">Supporting context:</w:t>
      </w:r>
      <w:r>
        <w:t xml:space="preserve"> </w:t>
      </w:r>
      <w:r>
        <w:t xml:space="preserve">how we wired the paper’s implied tooling in a minimal shell—only to clarify the paper.</w:t>
      </w:r>
    </w:p>
    <w:p>
      <w:pPr>
        <w:pStyle w:val="FirstParagraph"/>
      </w:pPr>
      <w:r>
        <w:rPr>
          <w:b/>
        </w:rPr>
        <w:t xml:space="preserve">Primary reference:</w:t>
      </w:r>
      <w:r>
        <w:t xml:space="preserve"> </w:t>
      </w:r>
      <w:r>
        <w:t xml:space="preserve">Lopez SM, Aksman LM, Oxtoby NP, et al. </w:t>
      </w:r>
      <w:r>
        <w:rPr>
          <w:i/>
        </w:rPr>
        <w:t xml:space="preserve">Event-based modeling in temporal lobe epilepsy demonstrates progressive atrophy from cross-sectional data.</w:t>
      </w:r>
      <w:r>
        <w:t xml:space="preserve"> </w:t>
      </w:r>
      <w:r>
        <w:t xml:space="preserve">Epilepsia. 2022;63(8):2081–2095.</w:t>
      </w:r>
      <w:r>
        <w:t xml:space="preserve"> </w:t>
      </w:r>
      <w:hyperlink r:id="rId21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PMC</w:t>
        </w:r>
      </w:hyperlink>
    </w:p>
    <w:p>
      <w:pPr>
        <w:pStyle w:val="BodyText"/>
      </w:pPr>
      <w:r>
        <w:rPr>
          <w:b/>
        </w:rPr>
        <w:t xml:space="preserve">Related:</w:t>
      </w:r>
      <w:r>
        <w:t xml:space="preserve"> </w:t>
      </w:r>
      <w:hyperlink r:id="rId23">
        <w:r>
          <w:rPr>
            <w:rStyle w:val="Hyperlink"/>
          </w:rPr>
          <w:t xml:space="preserve">EBM_TLE.md</w:t>
        </w:r>
      </w:hyperlink>
      <w:r>
        <w:t xml:space="preserve"> </w:t>
      </w:r>
      <w:r>
        <w:t xml:space="preserve">(short summary).</w:t>
      </w:r>
      <w:r>
        <w:t xml:space="preserve"> </w:t>
      </w:r>
      <w:r>
        <w:rPr>
          <w:b/>
        </w:rPr>
        <w:t xml:space="preserve">Code layout:</w:t>
      </w:r>
      <w:r>
        <w:t xml:space="preserve"> </w:t>
      </w:r>
      <w:r>
        <w:rPr>
          <w:rStyle w:val="VerbatimChar"/>
        </w:rPr>
        <w:t xml:space="preserve">EBM_TLE/</w:t>
      </w:r>
      <w:r>
        <w:t xml:space="preserve"> </w:t>
      </w:r>
      <w:r>
        <w:t xml:space="preserve">(CLI),</w:t>
      </w:r>
      <w:r>
        <w:t xml:space="preserve"> </w:t>
      </w:r>
      <w:r>
        <w:rPr>
          <w:rStyle w:val="VerbatimChar"/>
        </w:rPr>
        <w:t xml:space="preserve">src/ebm_tle/</w:t>
      </w:r>
      <w:r>
        <w:t xml:space="preserve">; upstream</w:t>
      </w:r>
      <w:r>
        <w:t xml:space="preserve"> </w:t>
      </w:r>
      <w:hyperlink r:id="rId24">
        <w:r>
          <w:rPr>
            <w:rStyle w:val="Hyperlink"/>
          </w:rPr>
          <w:t xml:space="preserve">pySuStaIn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kde_ebm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ntext"/>
      <w:r>
        <w:t xml:space="preserve">Context</w:t>
      </w:r>
      <w:bookmarkEnd w:id="26"/>
    </w:p>
    <w:p>
      <w:pPr>
        <w:pStyle w:val="FirstParagraph"/>
      </w:pPr>
      <w:r>
        <w:t xml:space="preserve">Lopez et al. use</w:t>
      </w:r>
      <w:r>
        <w:t xml:space="preserve"> </w:t>
      </w:r>
      <w:r>
        <w:rPr>
          <w:b/>
        </w:rPr>
        <w:t xml:space="preserve">cross-sectional</w:t>
      </w:r>
      <w:r>
        <w:t xml:space="preserve"> </w:t>
      </w:r>
      <w:r>
        <w:t xml:space="preserve">T1 morphometry from</w:t>
      </w:r>
      <w:r>
        <w:t xml:space="preserve"> </w:t>
      </w:r>
      <w:r>
        <w:rPr>
          <w:b/>
        </w:rPr>
        <w:t xml:space="preserve">ENIGMA-Epilepsy</w:t>
      </w:r>
      <w:r>
        <w:t xml:space="preserve"> </w:t>
      </w:r>
      <w:r>
        <w:t xml:space="preserve">to infer a</w:t>
      </w:r>
      <w:r>
        <w:t xml:space="preserve"> </w:t>
      </w:r>
      <w:r>
        <w:rPr>
          <w:b/>
        </w:rPr>
        <w:t xml:space="preserve">KDE EBM</w:t>
      </w:r>
      <w:r>
        <w:t xml:space="preserve"> </w:t>
      </w:r>
      <w:r>
        <w:t xml:space="preserve">sequence (hippocampus → neocortex → thalamus → ventricle) and per-subject</w:t>
      </w:r>
      <w:r>
        <w:t xml:space="preserve"> </w:t>
      </w:r>
      <w:r>
        <w:rPr>
          <w:b/>
        </w:rPr>
        <w:t xml:space="preserve">stages</w:t>
      </w:r>
      <w:r>
        <w:t xml:space="preserve">, with strongest clinical signal for</w:t>
      </w:r>
      <w:r>
        <w:t xml:space="preserve"> </w:t>
      </w:r>
      <w:r>
        <w:rPr>
          <w:b/>
        </w:rPr>
        <w:t xml:space="preserve">Stage 0 vs non-0</w:t>
      </w:r>
      <w:r>
        <w:t xml:space="preserve">. Stack:</w:t>
      </w:r>
      <w:r>
        <w:t xml:space="preserve"> </w:t>
      </w:r>
      <w:r>
        <w:rPr>
          <w:rStyle w:val="VerbatimChar"/>
          <w:b/>
        </w:rPr>
        <w:t xml:space="preserve">kde_ebm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</w:rPr>
        <w:t xml:space="preserve">MixtureSustain</w:t>
      </w:r>
      <w:r>
        <w:t xml:space="preserve"> </w:t>
      </w:r>
      <w:r>
        <w:t xml:space="preserve">in</w:t>
      </w:r>
      <w:r>
        <w:t xml:space="preserve"> </w:t>
      </w:r>
      <w:r>
        <w:rPr>
          <w:b/>
        </w:rPr>
        <w:t xml:space="preserve">pySuStaIn</w:t>
      </w:r>
      <w:r>
        <w:t xml:space="preserve"> </w:t>
      </w:r>
      <w:r>
        <w:t xml:space="preserve">(UCL POND lineage).</w:t>
      </w:r>
    </w:p>
    <w:p>
      <w:pPr>
        <w:pStyle w:val="BodyText"/>
      </w:pPr>
      <w:r>
        <w:rPr>
          <w:b/>
        </w:rPr>
        <w:t xml:space="preserve">Builder read:</w:t>
      </w:r>
      <w:r>
        <w:t xml:space="preserve"> </w:t>
      </w:r>
      <w:r>
        <w:t xml:space="preserve">a clear</w:t>
      </w:r>
      <w:r>
        <w:t xml:space="preserve"> </w:t>
      </w:r>
      <w:r>
        <w:rPr>
          <w:b/>
        </w:rPr>
        <w:t xml:space="preserve">disease–progression</w:t>
      </w:r>
      <w:r>
        <w:t xml:space="preserve"> </w:t>
      </w:r>
      <w:r>
        <w:t xml:space="preserve">story from cross-sectional structure—not a generic tool release.</w:t>
      </w:r>
    </w:p>
    <w:p>
      <w:pPr>
        <w:pStyle w:val="BodyText"/>
      </w:pPr>
      <w:r>
        <w:rPr>
          <w:b/>
        </w:rPr>
        <w:t xml:space="preserve">Where the grounding code lives (optional map):</w:t>
      </w:r>
      <w:r>
        <w:t xml:space="preserve"> </w:t>
      </w:r>
      <w:r>
        <w:rPr>
          <w:rStyle w:val="VerbatimChar"/>
        </w:rPr>
        <w:t xml:space="preserve">./ebm</w:t>
      </w:r>
      <w:r>
        <w:t xml:space="preserve"> </w:t>
      </w:r>
      <w:r>
        <w:t xml:space="preserve">(Bash →</w:t>
      </w:r>
      <w:r>
        <w:t xml:space="preserve"> </w:t>
      </w:r>
      <w:r>
        <w:rPr>
          <w:rStyle w:val="VerbatimChar"/>
        </w:rPr>
        <w:t xml:space="preserve">python -m ebm_tle</w:t>
      </w:r>
      <w:r>
        <w:t xml:space="preserve">);</w:t>
      </w:r>
      <w:r>
        <w:t xml:space="preserve"> </w:t>
      </w:r>
      <w:r>
        <w:rPr>
          <w:rStyle w:val="VerbatimChar"/>
        </w:rPr>
        <w:t xml:space="preserve">src/ebm_tle/</w:t>
      </w:r>
      <w:r>
        <w:t xml:space="preserve"> </w:t>
      </w:r>
      <w:r>
        <w:t xml:space="preserve">(demo, fit, synthetic workaround for vendored</w:t>
      </w:r>
      <w:r>
        <w:t xml:space="preserve"> </w:t>
      </w:r>
      <w:r>
        <w:rPr>
          <w:rStyle w:val="VerbatimChar"/>
        </w:rPr>
        <w:t xml:space="preserve">sim</w:t>
      </w:r>
      <w:r>
        <w:t xml:space="preserve"> </w:t>
      </w:r>
      <w:r>
        <w:t xml:space="preserve">imports);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pins</w:t>
      </w:r>
      <w:r>
        <w:t xml:space="preserve"> </w:t>
      </w:r>
      <w:r>
        <w:rPr>
          <w:rStyle w:val="VerbatimChar"/>
        </w:rPr>
        <w:t xml:space="preserve">kde_ebm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awkde</w:t>
      </w:r>
      <w:r>
        <w:t xml:space="preserve">;</w:t>
      </w:r>
      <w:r>
        <w:t xml:space="preserve"> </w:t>
      </w:r>
      <w:r>
        <w:rPr>
          <w:rStyle w:val="VerbatimChar"/>
        </w:rPr>
        <w:t xml:space="preserve">.ebm/</w:t>
      </w:r>
      <w:r>
        <w:t xml:space="preserve"> </w:t>
      </w:r>
      <w:r>
        <w:t xml:space="preserve">for run logs. This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reproduce ENIGMA extraction or the full mega-analysis.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latform-fit-and-reproducibility"/>
      <w:r>
        <w:t xml:space="preserve">Platform fit and reproducibility</w:t>
      </w:r>
      <w:bookmarkEnd w:id="27"/>
    </w:p>
    <w:p>
      <w:pPr>
        <w:pStyle w:val="FirstParagraph"/>
      </w:pPr>
      <w:r>
        <w:rPr>
          <w:b/>
        </w:rPr>
        <w:t xml:space="preserve">From the paper</w:t>
      </w:r>
    </w:p>
    <w:p>
      <w:pPr>
        <w:numPr>
          <w:ilvl w:val="0"/>
          <w:numId w:val="1001"/>
        </w:numPr>
        <w:pStyle w:val="Compact"/>
      </w:pPr>
      <w:r>
        <w:t xml:space="preserve">Multi-site case–control; feature screen (e.g. |Cohen’s</w:t>
      </w:r>
      <w:r>
        <w:t xml:space="preserve"> </w:t>
      </w:r>
      <w:r>
        <w:rPr>
          <w:i/>
        </w:rPr>
        <w:t xml:space="preserve">d</w:t>
      </w:r>
      <w:r>
        <w:t xml:space="preserve">| ≥ 0.5); KDE mixtures + MCMC ordering + bootstrap; stages 0…</w:t>
      </w:r>
      <w:r>
        <w:rPr>
          <w:i/>
        </w:rPr>
        <w:t xml:space="preserve">k</w:t>
      </w:r>
      <w:r>
        <w:t xml:space="preserve">.</w:t>
      </w:r>
    </w:p>
    <w:p>
      <w:pPr>
        <w:pStyle w:val="FirstParagraph"/>
      </w:pPr>
      <w:r>
        <w:rPr>
          <w:b/>
        </w:rPr>
        <w:t xml:space="preserve">When mirroring the methods in code</w:t>
      </w:r>
    </w:p>
    <w:p>
      <w:pPr>
        <w:numPr>
          <w:ilvl w:val="0"/>
          <w:numId w:val="1002"/>
        </w:numPr>
        <w:pStyle w:val="Compact"/>
      </w:pPr>
      <w:r>
        <w:t xml:space="preserve">After</w:t>
      </w:r>
      <w:r>
        <w:t xml:space="preserve"> </w:t>
      </w:r>
      <w:r>
        <w:rPr>
          <w:rStyle w:val="VerbatimChar"/>
        </w:rPr>
        <w:t xml:space="preserve">./ebm install</w:t>
      </w:r>
      <w:r>
        <w:t xml:space="preserve">:</w:t>
      </w:r>
      <w:r>
        <w:t xml:space="preserve"> </w:t>
      </w:r>
      <w:r>
        <w:rPr>
          <w:rStyle w:val="VerbatimChar"/>
        </w:rPr>
        <w:t xml:space="preserve">./ebm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./ebm 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./ebm fit cohort.csv</w:t>
      </w:r>
      <w:r>
        <w:t xml:space="preserve"> </w:t>
      </w:r>
      <w:r>
        <w:t xml:space="preserve">probe the same stack the paper assumes—</w:t>
      </w:r>
      <w:r>
        <w:rPr>
          <w:b/>
        </w:rPr>
        <w:t xml:space="preserve">compute-heavy</w:t>
      </w:r>
      <w:r>
        <w:t xml:space="preserve"> </w:t>
      </w:r>
      <w:r>
        <w:t xml:space="preserve">(MCMC, pySuStaIn phases), not a single GLM.</w:t>
      </w:r>
    </w:p>
    <w:p>
      <w:pPr>
        <w:numPr>
          <w:ilvl w:val="0"/>
          <w:numId w:val="1002"/>
        </w:numPr>
        <w:pStyle w:val="Compact"/>
      </w:pPr>
      <w:r>
        <w:t xml:space="preserve">Lopez-style work still needs</w:t>
      </w:r>
      <w:r>
        <w:t xml:space="preserve"> </w:t>
      </w:r>
      <w:r>
        <w:rPr>
          <w:b/>
        </w:rPr>
        <w:t xml:space="preserve">ENIGMA-compatible</w:t>
      </w:r>
      <w:r>
        <w:t xml:space="preserve"> </w:t>
      </w:r>
      <w:r>
        <w:t xml:space="preserve">regional features (e.g. FreeSurfer) → CSV; that</w:t>
      </w:r>
      <w:r>
        <w:t xml:space="preserve"> </w:t>
      </w:r>
      <w:r>
        <w:rPr>
          <w:b/>
        </w:rPr>
        <w:t xml:space="preserve">feature path</w:t>
      </w:r>
      <w:r>
        <w:t xml:space="preserve"> </w:t>
      </w:r>
      <w:r>
        <w:t xml:space="preserve">is where real studies spend effort.</w:t>
      </w:r>
    </w:p>
    <w:p>
      <w:pPr>
        <w:pStyle w:val="FirstParagraph"/>
      </w:pPr>
      <w:r>
        <w:rPr>
          <w:b/>
        </w:rPr>
        <w:t xml:space="preserve">Replication limits in the public record</w:t>
      </w:r>
    </w:p>
    <w:p>
      <w:pPr>
        <w:numPr>
          <w:ilvl w:val="0"/>
          <w:numId w:val="1003"/>
        </w:numPr>
        <w:pStyle w:val="Compact"/>
      </w:pPr>
      <w:r>
        <w:t xml:space="preserve">No turnkey</w:t>
      </w:r>
      <w:r>
        <w:t xml:space="preserve"> </w:t>
      </w:r>
      <w:r>
        <w:rPr>
          <w:b/>
        </w:rPr>
        <w:t xml:space="preserve">pretrained</w:t>
      </w:r>
      <w:r>
        <w:t xml:space="preserve"> </w:t>
      </w:r>
      <w:r>
        <w:t xml:space="preserve">drop-in for external teams; retraining on your table/cohort is expected.</w:t>
      </w:r>
    </w:p>
    <w:p>
      <w:pPr>
        <w:numPr>
          <w:ilvl w:val="0"/>
          <w:numId w:val="1003"/>
        </w:numPr>
        <w:pStyle w:val="Compact"/>
      </w:pPr>
      <w:r>
        <w:t xml:space="preserve">Figure-level match needs</w:t>
      </w:r>
      <w:r>
        <w:t xml:space="preserve"> </w:t>
      </w:r>
      <w:r>
        <w:rPr>
          <w:b/>
        </w:rPr>
        <w:t xml:space="preserve">ENIGMA-Epilepsy</w:t>
      </w:r>
      <w:r>
        <w:t xml:space="preserve"> </w:t>
      </w:r>
      <w:r>
        <w:t xml:space="preserve">data and their pipelines.</w:t>
      </w:r>
    </w:p>
    <w:p>
      <w:pPr>
        <w:pStyle w:val="FirstParagraph"/>
      </w:pPr>
      <w:r>
        <w:rPr>
          <w:b/>
        </w:rPr>
        <w:t xml:space="preserve">Notes from wiring the stack</w:t>
      </w:r>
    </w:p>
    <w:p>
      <w:pPr>
        <w:numPr>
          <w:ilvl w:val="0"/>
          <w:numId w:val="1004"/>
        </w:numPr>
        <w:pStyle w:val="Compact"/>
      </w:pPr>
      <w:r>
        <w:t xml:space="preserve">Demo uses modest</w:t>
      </w:r>
      <w:r>
        <w:t xml:space="preserve"> </w:t>
      </w:r>
      <w:r>
        <w:rPr>
          <w:rStyle w:val="VerbatimChar"/>
        </w:rPr>
        <w:t xml:space="preserve">--mcmc</w:t>
      </w:r>
      <w:r>
        <w:t xml:space="preserve"> </w:t>
      </w:r>
      <w:r>
        <w:t xml:space="preserve">for smoke tests; longer runs match published practice more closely.</w:t>
      </w:r>
      <w:r>
        <w:t xml:space="preserve"> </w:t>
      </w:r>
      <w:r>
        <w:rPr>
          <w:rStyle w:val="VerbatimChar"/>
        </w:rPr>
        <w:t xml:space="preserve">ebm_tle/synthetic.py</w:t>
      </w:r>
      <w:r>
        <w:t xml:space="preserve"> </w:t>
      </w:r>
      <w:r>
        <w:t xml:space="preserve">works around upstream pySuStaIn package import quirks—</w:t>
      </w:r>
      <w:r>
        <w:rPr>
          <w:b/>
        </w:rPr>
        <w:t xml:space="preserve">ergonomics</w:t>
      </w:r>
      <w:r>
        <w:t xml:space="preserve">, not a critique of the paper.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erformance-generalization-comparison"/>
      <w:r>
        <w:t xml:space="preserve">Performance, generalization, comparison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Performance (paper):</w:t>
      </w:r>
      <w:r>
        <w:t xml:space="preserve"> </w:t>
      </w:r>
      <w:r>
        <w:t xml:space="preserve">heavy MCMC + bootstrap; staging is intensive vs. simple regression. Demo is a smoke test, not a benchmark of full published MCMC.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Generalization:</w:t>
      </w:r>
      <w:r>
        <w:t xml:space="preserve"> </w:t>
      </w:r>
      <w:r>
        <w:t xml:space="preserve">orderings are</w:t>
      </w:r>
      <w:r>
        <w:t xml:space="preserve"> </w:t>
      </w:r>
      <w:r>
        <w:rPr>
          <w:b/>
        </w:rPr>
        <w:t xml:space="preserve">cohort-specific</w:t>
      </w:r>
      <w:r>
        <w:t xml:space="preserve">; transport needs aligned biomarkers and preprocessing. Site/scanner effects are discussed (e.g. Stage 0 rates).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vs. other work:</w:t>
      </w:r>
      <w:r>
        <w:t xml:space="preserve"> </w:t>
      </w:r>
      <w:r>
        <w:t xml:space="preserve">this EBM is</w:t>
      </w:r>
      <w:r>
        <w:t xml:space="preserve"> </w:t>
      </w:r>
      <w:r>
        <w:rPr>
          <w:b/>
        </w:rPr>
        <w:t xml:space="preserve">cross-sectional ordering</w:t>
      </w:r>
      <w:r>
        <w:t xml:space="preserve"> </w:t>
      </w:r>
      <w:r>
        <w:t xml:space="preserve">under mixture + monotonicity; the paper situates it in the</w:t>
      </w:r>
      <w:r>
        <w:t xml:space="preserve"> </w:t>
      </w:r>
      <w:r>
        <w:rPr>
          <w:b/>
        </w:rPr>
        <w:t xml:space="preserve">pySuStaIn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kde_ebm</w:t>
      </w:r>
      <w:r>
        <w:t xml:space="preserve"> </w:t>
      </w:r>
      <w:r>
        <w:t xml:space="preserve">line (e.g. vs. Granger / longitudinal paths).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df38453e7b81dbf353ecd4d59ff5408f2fc5f70"/>
      <w:r>
        <w:t xml:space="preserve">Clinical relevance, interpretability, integration</w:t>
      </w:r>
      <w:bookmarkEnd w:id="29"/>
    </w:p>
    <w:p>
      <w:pPr>
        <w:pStyle w:val="FirstParagraph"/>
      </w:pPr>
      <w:r>
        <w:rPr>
          <w:i/>
        </w:rPr>
        <w:t xml:space="preserve">How the</w:t>
      </w:r>
      <w:r>
        <w:rPr>
          <w:i/>
        </w:rPr>
        <w:t xml:space="preserve"> </w:t>
      </w:r>
      <w:r>
        <w:rPr>
          <w:b/>
          <w:i/>
        </w:rPr>
        <w:t xml:space="preserve">paper</w:t>
      </w:r>
      <w:r>
        <w:rPr>
          <w:i/>
        </w:rPr>
        <w:t xml:space="preserve"> </w:t>
      </w:r>
      <w:r>
        <w:rPr>
          <w:i/>
        </w:rPr>
        <w:t xml:space="preserve">positions use—not an endorsement of any local shell for care.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Research:</w:t>
      </w:r>
      <w:r>
        <w:t xml:space="preserve"> </w:t>
      </w:r>
      <w:r>
        <w:t xml:space="preserve">staging for hypothesis generation; limits on fine stage vs. </w:t>
      </w:r>
      <w:r>
        <w:rPr>
          <w:b/>
        </w:rPr>
        <w:t xml:space="preserve">clinical</w:t>
      </w:r>
      <w:r>
        <w:t xml:space="preserve"> </w:t>
      </w:r>
      <w:r>
        <w:t xml:space="preserve">endpoints (much of the signal in</w:t>
      </w:r>
      <w:r>
        <w:t xml:space="preserve"> </w:t>
      </w:r>
      <w:r>
        <w:rPr>
          <w:b/>
        </w:rPr>
        <w:t xml:space="preserve">Stage 0 vs not</w:t>
      </w:r>
      <w:r>
        <w:t xml:space="preserve">).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regulated device claim.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Interpretable outputs: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ml_stage</w:t>
      </w:r>
      <w:r>
        <w:t xml:space="preserve">, subtype/stage structure, companion artifacts the methods describe.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Failure modes:</w:t>
      </w:r>
      <w:r>
        <w:t xml:space="preserve"> </w:t>
      </w:r>
      <w:r>
        <w:t xml:space="preserve">feature quality, segmentation, table semantics—measurement and cohort, not only code bugs.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Integration path:</w:t>
      </w:r>
      <w:r>
        <w:t xml:space="preserve"> </w:t>
      </w:r>
      <w:r>
        <w:t xml:space="preserve">BIDS + FreeSurfer/ENIGMA-style summaries → cohort</w:t>
      </w:r>
      <w:r>
        <w:t xml:space="preserve"> </w:t>
      </w:r>
      <w:r>
        <w:rPr>
          <w:rStyle w:val="VerbatimChar"/>
        </w:rPr>
        <w:t xml:space="preserve">fit</w:t>
      </w:r>
      <w:r>
        <w:t xml:space="preserve">. Regulated deployment is out of scope for the</w:t>
      </w:r>
      <w:r>
        <w:t xml:space="preserve"> </w:t>
      </w:r>
      <w:r>
        <w:rPr>
          <w:i/>
        </w:rPr>
        <w:t xml:space="preserve">Epilepsia</w:t>
      </w:r>
      <w:r>
        <w:t xml:space="preserve"> </w:t>
      </w:r>
      <w:r>
        <w:t xml:space="preserve">methods story.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limitations"/>
      <w:r>
        <w:t xml:space="preserve">Limitations</w:t>
      </w:r>
      <w:bookmarkEnd w:id="30"/>
    </w:p>
    <w:p>
      <w:pPr>
        <w:pStyle w:val="FirstParagraph"/>
      </w:pPr>
      <w:r>
        <w:rPr>
          <w:b/>
        </w:rPr>
        <w:t xml:space="preserve">Paper / methods family:</w:t>
      </w:r>
      <w:r>
        <w:t xml:space="preserve"> </w:t>
      </w:r>
      <w:r>
        <w:t xml:space="preserve">sound</w:t>
      </w:r>
      <w:r>
        <w:t xml:space="preserve"> </w:t>
      </w:r>
      <w:r>
        <w:rPr>
          <w:b/>
        </w:rPr>
        <w:t xml:space="preserve">KDE</w:t>
      </w:r>
      <w:r>
        <w:t xml:space="preserve"> </w:t>
      </w:r>
      <w:r>
        <w:t xml:space="preserve">separation and defensible</w:t>
      </w:r>
      <w:r>
        <w:t xml:space="preserve"> </w:t>
      </w:r>
      <w:r>
        <w:rPr>
          <w:b/>
        </w:rPr>
        <w:t xml:space="preserve">biomarkers</w:t>
      </w:r>
      <w:r>
        <w:t xml:space="preserve">; publication discusses heterogeneity and limits on fine clinical mapping.</w:t>
      </w:r>
    </w:p>
    <w:p>
      <w:pPr>
        <w:pStyle w:val="BodyText"/>
      </w:pPr>
      <w:r>
        <w:rPr>
          <w:b/>
        </w:rPr>
        <w:t xml:space="preserve">Operational (illustrative):</w:t>
      </w:r>
      <w:r>
        <w:t xml:space="preserve"> </w:t>
      </w:r>
      <w:r>
        <w:t xml:space="preserve">no in-repo imaging pipeline; networked install for</w:t>
      </w:r>
      <w:r>
        <w:t xml:space="preserve"> </w:t>
      </w:r>
      <w:r>
        <w:rPr>
          <w:rStyle w:val="VerbatimChar"/>
        </w:rPr>
        <w:t xml:space="preserve">pySuStaIn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kde_ebm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awkde</w:t>
      </w:r>
      <w:r>
        <w:t xml:space="preserve">; background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runs synthetic demo; headless may need</w:t>
      </w:r>
      <w:r>
        <w:t xml:space="preserve"> </w:t>
      </w:r>
      <w:r>
        <w:rPr>
          <w:rStyle w:val="VerbatimChar"/>
        </w:rPr>
        <w:t xml:space="preserve">MPLBACKEND=Agg</w:t>
      </w:r>
      <w:r>
        <w:t xml:space="preserve">; large</w:t>
      </w:r>
      <w:r>
        <w:t xml:space="preserve"> </w:t>
      </w:r>
      <w:r>
        <w:rPr>
          <w:b/>
        </w:rPr>
        <w:t xml:space="preserve">pickle</w:t>
      </w:r>
      <w:r>
        <w:t xml:space="preserve"> </w:t>
      </w:r>
      <w:r>
        <w:t xml:space="preserve">I/O on shared FS—</w:t>
      </w:r>
      <w:r>
        <w:rPr>
          <w:b/>
        </w:rPr>
        <w:t xml:space="preserve">deployment hygiene</w:t>
      </w:r>
      <w:r>
        <w:t xml:space="preserve">, not central to the article.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builder-insight"/>
      <w:r>
        <w:t xml:space="preserve">Builder insight</w:t>
      </w:r>
      <w:bookmarkEnd w:id="31"/>
    </w:p>
    <w:p>
      <w:pPr>
        <w:pStyle w:val="FirstParagraph"/>
      </w:pPr>
      <w:r>
        <w:t xml:space="preserve">Lopez et al. give a defensible</w:t>
      </w:r>
      <w:r>
        <w:t xml:space="preserve"> </w:t>
      </w:r>
      <w:r>
        <w:rPr>
          <w:b/>
        </w:rPr>
        <w:t xml:space="preserve">cross-sectional EBM</w:t>
      </w:r>
      <w:r>
        <w:t xml:space="preserve"> </w:t>
      </w:r>
      <w:r>
        <w:t xml:space="preserve">on T1 morphometry in TLE with a clear</w:t>
      </w:r>
      <w:r>
        <w:t xml:space="preserve"> </w:t>
      </w:r>
      <w:r>
        <w:rPr>
          <w:b/>
        </w:rPr>
        <w:t xml:space="preserve">Stage 0</w:t>
      </w:r>
      <w:r>
        <w:t xml:space="preserve"> </w:t>
      </w:r>
      <w:r>
        <w:t xml:space="preserve">message and honest</w:t>
      </w:r>
      <w:r>
        <w:t xml:space="preserve"> </w:t>
      </w:r>
      <w:r>
        <w:rPr>
          <w:b/>
        </w:rPr>
        <w:t xml:space="preserve">limits</w:t>
      </w:r>
      <w:r>
        <w:t xml:space="preserve"> </w:t>
      </w:r>
      <w:r>
        <w:t xml:space="preserve">on fine clinical staging. The</w:t>
      </w:r>
      <w:r>
        <w:t xml:space="preserve"> </w:t>
      </w:r>
      <w:r>
        <w:rPr>
          <w:b/>
        </w:rPr>
        <w:t xml:space="preserve">open stack</w:t>
      </w:r>
      <w:r>
        <w:t xml:space="preserve"> </w:t>
      </w:r>
      <w:r>
        <w:t xml:space="preserve">is the one the publication assumes; the</w:t>
      </w:r>
      <w:r>
        <w:t xml:space="preserve"> </w:t>
      </w:r>
      <w:r>
        <w:rPr>
          <w:b/>
        </w:rPr>
        <w:t xml:space="preserve">small shell</w:t>
      </w:r>
      <w:r>
        <w:t xml:space="preserve"> </w:t>
      </w:r>
      <w:r>
        <w:t xml:space="preserve">here was only to use that stack while writing the review, not to replace ENIGMA work or the original validation. The</w:t>
      </w:r>
      <w:r>
        <w:t xml:space="preserve"> </w:t>
      </w:r>
      <w:r>
        <w:rPr>
          <w:b/>
        </w:rPr>
        <w:t xml:space="preserve">builder gap</w:t>
      </w:r>
      <w:r>
        <w:t xml:space="preserve"> </w:t>
      </w:r>
      <w:r>
        <w:t xml:space="preserve">for the paper’s use cases is still</w:t>
      </w:r>
      <w:r>
        <w:t xml:space="preserve"> </w:t>
      </w:r>
      <w:r>
        <w:rPr>
          <w:b/>
        </w:rPr>
        <w:t xml:space="preserve">biomarker tables, screening, and biologically coherent staging interpretation</w:t>
      </w:r>
      <w:r>
        <w:t xml:space="preserve">—not wiring alone.</w:t>
      </w:r>
    </w:p>
    <w:p>
      <w:pPr>
        <w:pStyle w:val="BodyText"/>
      </w:pPr>
      <w:r>
        <w:rPr>
          <w:i/>
        </w:rPr>
        <w:t xml:space="preserve">Optional research plumbing: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examples/cohort_template.csv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smokes, Slurm for long runs.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mmands-appendix-local-grounding"/>
      <w:r>
        <w:t xml:space="preserve">Commands (appendix: local grounding)</w:t>
      </w:r>
      <w:bookmarkEnd w:id="32"/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./ebm</w:t>
      </w:r>
      <w:r>
        <w:br/>
      </w:r>
      <w:r>
        <w:rPr>
          <w:rStyle w:val="ExtensionTok"/>
        </w:rPr>
        <w:t xml:space="preserve">./ebm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./ebm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./ebm</w:t>
      </w:r>
      <w:r>
        <w:rPr>
          <w:rStyle w:val="NormalTok"/>
        </w:rPr>
        <w:t xml:space="preserve"> demo --output runs/demo --mcmc 8000</w:t>
      </w:r>
      <w:r>
        <w:br/>
      </w:r>
      <w:r>
        <w:rPr>
          <w:rStyle w:val="ExtensionTok"/>
        </w:rPr>
        <w:t xml:space="preserve">./ebm</w:t>
      </w:r>
      <w:r>
        <w:rPr>
          <w:rStyle w:val="NormalTok"/>
        </w:rPr>
        <w:t xml:space="preserve"> fit cohort.csv --output runs/fit_out --group-col group --subject-col subject_id</w:t>
      </w:r>
      <w:r>
        <w:br/>
      </w:r>
      <w:r>
        <w:rPr>
          <w:rStyle w:val="ExtensionTok"/>
        </w:rPr>
        <w:t xml:space="preserve">./ebm</w:t>
      </w:r>
      <w:r>
        <w:rPr>
          <w:rStyle w:val="NormalTok"/>
        </w:rPr>
        <w:t xml:space="preserve"> start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./ebm</w:t>
      </w:r>
      <w:r>
        <w:rPr>
          <w:rStyle w:val="NormalTok"/>
        </w:rPr>
        <w:t xml:space="preserve"> logs -n 100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./ebm</w:t>
      </w:r>
      <w:r>
        <w:rPr>
          <w:rStyle w:val="NormalTok"/>
        </w:rPr>
        <w:t xml:space="preserve"> stop</w:t>
      </w:r>
    </w:p>
    <w:p>
      <w:pPr>
        <w:pStyle w:val="FirstParagraph"/>
      </w:pPr>
      <w:r>
        <w:rPr>
          <w:b/>
        </w:rPr>
        <w:t xml:space="preserve">Outputs: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*_stages.csv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*_meta.json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pickle_files/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references-selected"/>
      <w:r>
        <w:t xml:space="preserve">References (selected)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Lopez et al. 2022</w:t>
      </w:r>
      <w:r>
        <w:t xml:space="preserve"> </w:t>
      </w:r>
      <w:r>
        <w:rPr>
          <w:i/>
        </w:rPr>
        <w:t xml:space="preserve">Epilepsia</w:t>
      </w:r>
      <w:r>
        <w:t xml:space="preserve"> </w:t>
      </w:r>
      <w:r>
        <w:t xml:space="preserve">—</w:t>
      </w:r>
      <w:r>
        <w:t xml:space="preserve"> </w:t>
      </w:r>
      <w:hyperlink r:id="rId21">
        <w:r>
          <w:rPr>
            <w:rStyle w:val="Hyperlink"/>
          </w:rPr>
          <w:t xml:space="preserve">DOI above</w:t>
        </w:r>
      </w:hyperlink>
      <w:r>
        <w:t xml:space="preserve">.</w:t>
      </w:r>
    </w:p>
    <w:p>
      <w:pPr>
        <w:numPr>
          <w:ilvl w:val="0"/>
          <w:numId w:val="1007"/>
        </w:numPr>
        <w:pStyle w:val="Compact"/>
      </w:pPr>
      <w:hyperlink r:id="rId23">
        <w:r>
          <w:rPr>
            <w:rStyle w:val="Hyperlink"/>
          </w:rPr>
          <w:t xml:space="preserve">EBM_TLE.md</w:t>
        </w:r>
      </w:hyperlink>
      <w:r>
        <w:t xml:space="preserve"> </w:t>
      </w:r>
      <w:r>
        <w:t xml:space="preserve">— short summary in-repo.</w:t>
      </w:r>
    </w:p>
    <w:p>
      <w:pPr>
        <w:numPr>
          <w:ilvl w:val="0"/>
          <w:numId w:val="1007"/>
        </w:numPr>
        <w:pStyle w:val="Compact"/>
      </w:pPr>
      <w:r>
        <w:t xml:space="preserve">pySuStaIn / kde_ebm — UCL POND (see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).</w:t>
      </w:r>
    </w:p>
    <w:p>
      <w:pPr>
        <w:pStyle w:val="FirstParagraph"/>
      </w:pPr>
      <w:r>
        <w:rPr>
          <w:i/>
        </w:rPr>
        <w:t xml:space="preserve">Last updated: 2026-04-24.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EBM_TLE.md" TargetMode="External" /><Relationship Type="http://schemas.openxmlformats.org/officeDocument/2006/relationships/hyperlink" Id="rId21" Target="https://doi.org/10.1111/epi.17316" TargetMode="External" /><Relationship Type="http://schemas.openxmlformats.org/officeDocument/2006/relationships/hyperlink" Id="rId25" Target="https://github.com/ucl-pond/kde_ebm" TargetMode="External" /><Relationship Type="http://schemas.openxmlformats.org/officeDocument/2006/relationships/hyperlink" Id="rId24" Target="https://github.com/ucl-pond/pySuStaIn" TargetMode="External" /><Relationship Type="http://schemas.openxmlformats.org/officeDocument/2006/relationships/hyperlink" Id="rId22" Target="https://pmc.ncbi.nlm.nih.gov/articles/PMC9540015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EBM_TLE.md" TargetMode="External" /><Relationship Type="http://schemas.openxmlformats.org/officeDocument/2006/relationships/hyperlink" Id="rId21" Target="https://doi.org/10.1111/epi.17316" TargetMode="External" /><Relationship Type="http://schemas.openxmlformats.org/officeDocument/2006/relationships/hyperlink" Id="rId25" Target="https://github.com/ucl-pond/kde_ebm" TargetMode="External" /><Relationship Type="http://schemas.openxmlformats.org/officeDocument/2006/relationships/hyperlink" Id="rId24" Target="https://github.com/ucl-pond/pySuStaIn" TargetMode="External" /><Relationship Type="http://schemas.openxmlformats.org/officeDocument/2006/relationships/hyperlink" Id="rId22" Target="https://pmc.ncbi.nlm.nih.gov/articles/PMC954001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2026-04-24T03:03:09Z</dcterms:created>
  <dcterms:modified xsi:type="dcterms:W3CDTF">2026-04-24T03:03:09Z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